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atLeast"/>
        <w:jc w:val="center"/>
        <w:rPr>
          <w:rFonts w:ascii="宋体" w:hAnsi="宋体"/>
          <w:b/>
          <w:sz w:val="36"/>
        </w:rPr>
      </w:pPr>
      <w:r>
        <w:rPr>
          <w:rFonts w:hint="eastAsia" w:ascii="宋体" w:hAnsi="宋体"/>
          <w:b/>
          <w:sz w:val="36"/>
        </w:rPr>
        <w:t>隐秘王国公益沙龙项目合作协议</w:t>
      </w:r>
    </w:p>
    <w:p>
      <w:pPr>
        <w:spacing w:after="156" w:afterLines="50" w:line="360" w:lineRule="auto"/>
        <w:jc w:val="left"/>
        <w:rPr>
          <w:rFonts w:ascii="宋体" w:hAnsi="宋体"/>
          <w:sz w:val="24"/>
          <w:szCs w:val="24"/>
        </w:rPr>
      </w:pPr>
    </w:p>
    <w:p>
      <w:pPr>
        <w:spacing w:after="156" w:afterLines="50" w:line="360" w:lineRule="auto"/>
        <w:jc w:val="left"/>
        <w:rPr>
          <w:rFonts w:ascii="宋体" w:hAnsi="宋体"/>
          <w:b/>
          <w:sz w:val="24"/>
          <w:szCs w:val="24"/>
        </w:rPr>
      </w:pPr>
      <w:r>
        <w:rPr>
          <w:rFonts w:hint="eastAsia" w:ascii="宋体" w:hAnsi="宋体"/>
          <w:b/>
          <w:sz w:val="24"/>
          <w:szCs w:val="24"/>
        </w:rPr>
        <w:t>甲方（委托方）：福建省正荣公益基金会</w:t>
      </w:r>
    </w:p>
    <w:p>
      <w:pPr>
        <w:spacing w:after="156" w:afterLines="50" w:line="360" w:lineRule="auto"/>
        <w:jc w:val="left"/>
        <w:rPr>
          <w:rFonts w:ascii="宋体" w:hAnsi="宋体"/>
          <w:b/>
          <w:sz w:val="24"/>
          <w:szCs w:val="24"/>
        </w:rPr>
      </w:pPr>
      <w:r>
        <w:rPr>
          <w:rFonts w:hint="eastAsia" w:ascii="宋体" w:hAnsi="宋体"/>
          <w:b/>
          <w:sz w:val="24"/>
          <w:szCs w:val="24"/>
          <w:lang w:eastAsia="zh-CN"/>
        </w:rPr>
        <w:t>项目</w:t>
      </w:r>
      <w:r>
        <w:rPr>
          <w:rFonts w:hint="eastAsia" w:ascii="宋体" w:hAnsi="宋体"/>
          <w:b/>
          <w:sz w:val="24"/>
          <w:szCs w:val="24"/>
        </w:rPr>
        <w:t>负责人：姜姗</w:t>
      </w:r>
    </w:p>
    <w:p>
      <w:pPr>
        <w:spacing w:after="156" w:afterLines="50" w:line="360" w:lineRule="auto"/>
        <w:jc w:val="left"/>
        <w:rPr>
          <w:rFonts w:ascii="宋体" w:hAnsi="宋体"/>
          <w:b/>
          <w:sz w:val="24"/>
          <w:szCs w:val="24"/>
        </w:rPr>
      </w:pPr>
      <w:r>
        <w:rPr>
          <w:rFonts w:hint="eastAsia" w:ascii="宋体" w:hAnsi="宋体"/>
          <w:b/>
          <w:sz w:val="24"/>
          <w:szCs w:val="24"/>
        </w:rPr>
        <w:t>地址：福州市仓山区金山街道林洲路8号世欧彼岸城A区9栋1701室</w:t>
      </w:r>
    </w:p>
    <w:p>
      <w:pPr>
        <w:spacing w:after="156" w:afterLines="50" w:line="360" w:lineRule="auto"/>
        <w:jc w:val="left"/>
        <w:rPr>
          <w:rFonts w:ascii="宋体" w:hAnsi="宋体"/>
          <w:b/>
          <w:sz w:val="24"/>
          <w:szCs w:val="24"/>
          <w:highlight w:val="none"/>
        </w:rPr>
      </w:pPr>
      <w:r>
        <w:rPr>
          <w:rFonts w:hint="eastAsia" w:ascii="宋体" w:hAnsi="宋体"/>
          <w:b/>
          <w:sz w:val="24"/>
          <w:szCs w:val="24"/>
          <w:highlight w:val="none"/>
        </w:rPr>
        <w:t>乙方：上海FN小组</w:t>
      </w:r>
    </w:p>
    <w:p>
      <w:pPr>
        <w:spacing w:after="156" w:afterLines="50" w:line="360" w:lineRule="auto"/>
        <w:jc w:val="left"/>
        <w:rPr>
          <w:rFonts w:ascii="宋体" w:hAnsi="宋体"/>
          <w:b/>
          <w:sz w:val="24"/>
          <w:szCs w:val="24"/>
          <w:highlight w:val="none"/>
        </w:rPr>
      </w:pPr>
      <w:r>
        <w:rPr>
          <w:rFonts w:hint="eastAsia" w:ascii="宋体" w:hAnsi="宋体"/>
          <w:b/>
          <w:sz w:val="24"/>
          <w:szCs w:val="24"/>
          <w:highlight w:val="none"/>
          <w:lang w:eastAsia="zh-CN"/>
        </w:rPr>
        <w:t>项目</w:t>
      </w:r>
      <w:r>
        <w:rPr>
          <w:rFonts w:hint="eastAsia" w:ascii="宋体" w:hAnsi="宋体"/>
          <w:b/>
          <w:sz w:val="24"/>
          <w:szCs w:val="24"/>
          <w:highlight w:val="none"/>
        </w:rPr>
        <w:t>负责人：王琳琳</w:t>
      </w:r>
    </w:p>
    <w:p>
      <w:pPr>
        <w:spacing w:after="156" w:afterLines="50" w:line="360" w:lineRule="auto"/>
        <w:jc w:val="left"/>
        <w:rPr>
          <w:rFonts w:ascii="宋体" w:hAnsi="宋体"/>
          <w:b/>
          <w:sz w:val="24"/>
          <w:szCs w:val="24"/>
          <w:highlight w:val="none"/>
        </w:rPr>
      </w:pPr>
      <w:r>
        <w:rPr>
          <w:rFonts w:hint="eastAsia" w:ascii="宋体" w:hAnsi="宋体"/>
          <w:b/>
          <w:sz w:val="24"/>
          <w:szCs w:val="24"/>
          <w:highlight w:val="none"/>
        </w:rPr>
        <w:t>地址：上海市长宁区万航渡路2088弄1号1803</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甲乙双方在公平平等，相互信任、相互尊重、诚实信用的基础上开展工作；经过友好协商，就甲方支持乙方执行</w:t>
      </w:r>
      <w:r>
        <w:rPr>
          <w:rFonts w:hint="eastAsia" w:ascii="宋体" w:hAnsi="宋体"/>
          <w:b/>
          <w:sz w:val="24"/>
          <w:szCs w:val="24"/>
          <w:u w:val="single"/>
        </w:rPr>
        <w:t>隐秘王国公益沙龙项目</w:t>
      </w:r>
      <w:r>
        <w:rPr>
          <w:rFonts w:hint="eastAsia" w:ascii="宋体" w:hAnsi="宋体"/>
          <w:sz w:val="24"/>
          <w:szCs w:val="24"/>
        </w:rPr>
        <w:t>相关事项达成如下协议：</w:t>
      </w:r>
    </w:p>
    <w:p>
      <w:pPr>
        <w:spacing w:after="156" w:afterLines="50" w:line="360" w:lineRule="auto"/>
        <w:ind w:firstLine="482" w:firstLineChars="200"/>
        <w:jc w:val="left"/>
        <w:rPr>
          <w:rFonts w:ascii="宋体" w:hAnsi="宋体"/>
          <w:b/>
          <w:bCs/>
          <w:sz w:val="24"/>
          <w:szCs w:val="24"/>
          <w:highlight w:val="none"/>
        </w:rPr>
      </w:pPr>
      <w:r>
        <w:rPr>
          <w:rFonts w:hint="eastAsia" w:ascii="宋体" w:hAnsi="宋体"/>
          <w:b/>
          <w:bCs/>
          <w:sz w:val="24"/>
          <w:szCs w:val="24"/>
          <w:highlight w:val="none"/>
        </w:rPr>
        <w:t>一、项目背景</w:t>
      </w:r>
    </w:p>
    <w:p>
      <w:pPr>
        <w:spacing w:after="156" w:afterLines="50" w:line="360" w:lineRule="auto"/>
        <w:ind w:firstLine="480" w:firstLineChars="200"/>
        <w:jc w:val="left"/>
        <w:rPr>
          <w:rFonts w:ascii="宋体" w:hAnsi="宋体"/>
          <w:sz w:val="24"/>
          <w:szCs w:val="24"/>
          <w:highlight w:val="none"/>
        </w:rPr>
      </w:pPr>
      <w:r>
        <w:rPr>
          <w:rFonts w:hint="eastAsia" w:ascii="宋体" w:hAnsi="宋体"/>
          <w:sz w:val="24"/>
          <w:szCs w:val="24"/>
          <w:highlight w:val="none"/>
          <w:lang w:eastAsia="zh-CN"/>
        </w:rPr>
        <w:t>每个城市社区都有流浪猫的身影，许多社区居民自发成为爱心喂养人，为社区中的流浪猫提供救助与群护。但由于大多数社区喂养人缺乏专业知识与相关社会资源的援助，个人救助存在方法不科学、救助不高效等问题。虽然有部分社区通过居民自组织的形式形成了良性的救助模式，但并未得到广泛实践。</w:t>
      </w:r>
    </w:p>
    <w:p>
      <w:pPr>
        <w:spacing w:after="156" w:afterLines="50" w:line="360" w:lineRule="auto"/>
        <w:ind w:firstLine="482" w:firstLineChars="200"/>
        <w:jc w:val="left"/>
        <w:rPr>
          <w:rFonts w:ascii="宋体" w:hAnsi="宋体"/>
          <w:sz w:val="24"/>
          <w:szCs w:val="24"/>
        </w:rPr>
      </w:pPr>
      <w:r>
        <w:rPr>
          <w:rFonts w:hint="eastAsia" w:ascii="宋体" w:hAnsi="宋体"/>
          <w:b/>
          <w:bCs/>
          <w:sz w:val="24"/>
          <w:szCs w:val="24"/>
        </w:rPr>
        <w:t>二、项目内容</w:t>
      </w:r>
      <w:r>
        <w:rPr>
          <w:rFonts w:hint="eastAsia" w:ascii="宋体" w:hAnsi="宋体"/>
          <w:sz w:val="24"/>
          <w:szCs w:val="24"/>
        </w:rPr>
        <w:t>：</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隐秘王国公益沙龙是由正荣公益基金会、上海FN小组联合发起，旨在通过互动工作坊和宣讲活动，搭建社区个人救助与机构救助互通平台，为社区救助人提供技能指导与资源链接，推广城市流浪猫TNR与群护行动。</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甲方与乙方合作开展该项目，甲方提供开展沙龙等活动的部分资金支持，乙方负责隐秘王国公益沙龙的设计与实施等。</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 xml:space="preserve">项目期间为 </w:t>
      </w:r>
      <w:r>
        <w:rPr>
          <w:rFonts w:hint="eastAsia" w:ascii="宋体" w:hAnsi="宋体"/>
          <w:sz w:val="24"/>
          <w:szCs w:val="24"/>
          <w:u w:val="single"/>
        </w:rPr>
        <w:t xml:space="preserve">  12 </w:t>
      </w:r>
      <w:r>
        <w:rPr>
          <w:rFonts w:hint="eastAsia" w:ascii="宋体" w:hAnsi="宋体"/>
          <w:sz w:val="24"/>
          <w:szCs w:val="24"/>
        </w:rPr>
        <w:t>个月，自</w:t>
      </w:r>
      <w:r>
        <w:rPr>
          <w:rFonts w:hint="eastAsia" w:ascii="宋体" w:hAnsi="宋体"/>
          <w:sz w:val="24"/>
          <w:szCs w:val="24"/>
          <w:u w:val="single"/>
        </w:rPr>
        <w:t xml:space="preserve">  2018 </w:t>
      </w:r>
      <w:r>
        <w:rPr>
          <w:rFonts w:hint="eastAsia" w:ascii="宋体" w:hAnsi="宋体"/>
          <w:sz w:val="24"/>
          <w:szCs w:val="24"/>
        </w:rPr>
        <w:t>年</w:t>
      </w:r>
      <w:r>
        <w:rPr>
          <w:rFonts w:hint="eastAsia" w:ascii="宋体" w:hAnsi="宋体"/>
          <w:sz w:val="24"/>
          <w:szCs w:val="24"/>
          <w:u w:val="single"/>
        </w:rPr>
        <w:t xml:space="preserve">  06 </w:t>
      </w:r>
      <w:r>
        <w:rPr>
          <w:rFonts w:hint="eastAsia" w:ascii="宋体" w:hAnsi="宋体"/>
          <w:sz w:val="24"/>
          <w:szCs w:val="24"/>
        </w:rPr>
        <w:t>月</w:t>
      </w:r>
      <w:r>
        <w:rPr>
          <w:rFonts w:hint="eastAsia" w:ascii="宋体" w:hAnsi="宋体"/>
          <w:sz w:val="24"/>
          <w:szCs w:val="24"/>
          <w:u w:val="single"/>
        </w:rPr>
        <w:t xml:space="preserve">  30 </w:t>
      </w:r>
      <w:r>
        <w:rPr>
          <w:rFonts w:hint="eastAsia" w:ascii="宋体" w:hAnsi="宋体"/>
          <w:sz w:val="24"/>
          <w:szCs w:val="24"/>
        </w:rPr>
        <w:t>日起，至</w:t>
      </w:r>
      <w:r>
        <w:rPr>
          <w:rFonts w:hint="eastAsia" w:ascii="宋体" w:hAnsi="宋体"/>
          <w:sz w:val="24"/>
          <w:szCs w:val="24"/>
          <w:u w:val="single"/>
        </w:rPr>
        <w:t xml:space="preserve">  2019  </w:t>
      </w:r>
      <w:r>
        <w:rPr>
          <w:rFonts w:hint="eastAsia" w:ascii="宋体" w:hAnsi="宋体"/>
          <w:sz w:val="24"/>
          <w:szCs w:val="24"/>
        </w:rPr>
        <w:t>年</w:t>
      </w:r>
      <w:r>
        <w:rPr>
          <w:rFonts w:hint="eastAsia" w:ascii="宋体" w:hAnsi="宋体"/>
          <w:sz w:val="24"/>
          <w:szCs w:val="24"/>
          <w:u w:val="single"/>
        </w:rPr>
        <w:t xml:space="preserve">  0</w:t>
      </w:r>
      <w:r>
        <w:rPr>
          <w:rFonts w:hint="eastAsia" w:ascii="宋体" w:hAnsi="宋体"/>
          <w:sz w:val="24"/>
          <w:szCs w:val="24"/>
          <w:u w:val="single"/>
          <w:lang w:val="en-US" w:eastAsia="zh-CN"/>
        </w:rPr>
        <w:t>7</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01   </w:t>
      </w:r>
      <w:r>
        <w:rPr>
          <w:rFonts w:hint="eastAsia" w:ascii="宋体" w:hAnsi="宋体"/>
          <w:sz w:val="24"/>
          <w:szCs w:val="24"/>
        </w:rPr>
        <w:t>日止。</w:t>
      </w:r>
    </w:p>
    <w:p>
      <w:pPr>
        <w:numPr>
          <w:ilvl w:val="0"/>
          <w:numId w:val="1"/>
        </w:numPr>
        <w:spacing w:after="156" w:afterLines="50" w:line="360" w:lineRule="auto"/>
        <w:ind w:firstLine="482" w:firstLineChars="200"/>
        <w:jc w:val="left"/>
        <w:rPr>
          <w:rFonts w:ascii="宋体" w:hAnsi="宋体"/>
          <w:b/>
          <w:bCs/>
          <w:kern w:val="0"/>
          <w:sz w:val="24"/>
          <w:szCs w:val="24"/>
        </w:rPr>
      </w:pPr>
      <w:r>
        <w:rPr>
          <w:rFonts w:hint="eastAsia" w:ascii="宋体" w:hAnsi="宋体"/>
          <w:b/>
          <w:bCs/>
          <w:kern w:val="0"/>
          <w:sz w:val="24"/>
          <w:szCs w:val="24"/>
        </w:rPr>
        <w:t>项目资金管理方案</w:t>
      </w:r>
    </w:p>
    <w:p>
      <w:pPr>
        <w:spacing w:after="156" w:afterLines="50" w:line="360" w:lineRule="auto"/>
        <w:ind w:firstLine="480" w:firstLineChars="200"/>
        <w:jc w:val="left"/>
        <w:rPr>
          <w:rFonts w:hint="eastAsia" w:ascii="宋体" w:hAnsi="宋体"/>
          <w:sz w:val="24"/>
          <w:szCs w:val="24"/>
          <w:highlight w:val="none"/>
          <w:lang w:eastAsia="zh-CN"/>
        </w:rPr>
      </w:pPr>
      <w:r>
        <w:rPr>
          <w:rFonts w:hint="eastAsia" w:ascii="宋体" w:hAnsi="宋体"/>
          <w:sz w:val="24"/>
          <w:szCs w:val="24"/>
        </w:rPr>
        <w:t>甲方为该项目提供资金支持，以甲乙双方协商通过的项目预算为准，甲方捐赠金</w:t>
      </w:r>
      <w:r>
        <w:rPr>
          <w:rFonts w:hint="eastAsia" w:ascii="宋体" w:hAnsi="宋体"/>
          <w:sz w:val="24"/>
          <w:szCs w:val="24"/>
          <w:highlight w:val="none"/>
        </w:rPr>
        <w:t>额为人民币</w:t>
      </w:r>
      <w:r>
        <w:rPr>
          <w:rFonts w:hint="eastAsia" w:ascii="宋体" w:hAnsi="宋体"/>
          <w:b/>
          <w:bCs/>
          <w:sz w:val="24"/>
          <w:szCs w:val="24"/>
          <w:highlight w:val="none"/>
          <w:u w:val="single"/>
        </w:rPr>
        <w:t xml:space="preserve"> 陆万元整</w:t>
      </w:r>
      <w:r>
        <w:rPr>
          <w:rFonts w:hint="eastAsia" w:ascii="宋体" w:hAnsi="宋体"/>
          <w:sz w:val="24"/>
          <w:szCs w:val="24"/>
          <w:highlight w:val="none"/>
        </w:rPr>
        <w:t xml:space="preserve">（小写金额 </w:t>
      </w:r>
      <w:r>
        <w:rPr>
          <w:rFonts w:hint="eastAsia" w:ascii="宋体" w:hAnsi="宋体"/>
          <w:sz w:val="24"/>
          <w:szCs w:val="24"/>
          <w:highlight w:val="none"/>
          <w:u w:val="single"/>
        </w:rPr>
        <w:t xml:space="preserve"> 60</w:t>
      </w:r>
      <w:r>
        <w:rPr>
          <w:rFonts w:hint="eastAsia" w:ascii="宋体" w:hAnsi="宋体"/>
          <w:sz w:val="24"/>
          <w:szCs w:val="24"/>
          <w:highlight w:val="none"/>
          <w:u w:val="single"/>
          <w:lang w:eastAsia="zh-CN"/>
        </w:rPr>
        <w:t>，</w:t>
      </w:r>
      <w:r>
        <w:rPr>
          <w:rFonts w:hint="eastAsia" w:ascii="宋体" w:hAnsi="宋体"/>
          <w:sz w:val="24"/>
          <w:szCs w:val="24"/>
          <w:highlight w:val="none"/>
          <w:u w:val="single"/>
        </w:rPr>
        <w:t>000.00</w:t>
      </w:r>
      <w:r>
        <w:rPr>
          <w:rFonts w:hint="eastAsia" w:ascii="宋体" w:hAnsi="宋体"/>
          <w:sz w:val="24"/>
          <w:szCs w:val="24"/>
          <w:highlight w:val="none"/>
        </w:rPr>
        <w:t>元  ）用于支持不少于</w:t>
      </w:r>
      <w:r>
        <w:rPr>
          <w:rFonts w:hint="eastAsia" w:ascii="宋体" w:hAnsi="宋体"/>
          <w:sz w:val="24"/>
          <w:szCs w:val="24"/>
          <w:highlight w:val="none"/>
          <w:u w:val="single"/>
        </w:rPr>
        <w:t>8场沙龙活动物料以及志愿者补贴费用</w:t>
      </w:r>
      <w:r>
        <w:rPr>
          <w:rFonts w:hint="eastAsia" w:ascii="宋体" w:hAnsi="宋体"/>
          <w:sz w:val="24"/>
          <w:szCs w:val="24"/>
          <w:highlight w:val="none"/>
        </w:rPr>
        <w:t>。（1年场次数量，详见活动计划）。按双方协商，</w:t>
      </w:r>
      <w:r>
        <w:rPr>
          <w:rFonts w:hint="eastAsia" w:ascii="宋体" w:hAnsi="宋体"/>
          <w:sz w:val="24"/>
          <w:szCs w:val="24"/>
          <w:highlight w:val="none"/>
          <w:lang w:eastAsia="zh-CN"/>
        </w:rPr>
        <w:t>甲方按照以下约定时间向乙方拨付资助款项：</w:t>
      </w:r>
    </w:p>
    <w:tbl>
      <w:tblPr>
        <w:tblStyle w:val="8"/>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8" w:type="dxa"/>
          </w:tcPr>
          <w:p>
            <w:pPr>
              <w:spacing w:after="156" w:afterLines="50" w:line="360" w:lineRule="auto"/>
              <w:jc w:val="left"/>
              <w:rPr>
                <w:rFonts w:hint="eastAsia" w:ascii="宋体" w:hAnsi="宋体"/>
                <w:sz w:val="24"/>
                <w:szCs w:val="24"/>
                <w:highlight w:val="none"/>
                <w:vertAlign w:val="baseline"/>
                <w:lang w:eastAsia="zh-CN"/>
              </w:rPr>
            </w:pPr>
            <w:r>
              <w:rPr>
                <w:rFonts w:hint="eastAsia" w:ascii="宋体" w:hAnsi="宋体"/>
                <w:sz w:val="24"/>
                <w:szCs w:val="24"/>
                <w:highlight w:val="none"/>
                <w:vertAlign w:val="baseline"/>
                <w:lang w:eastAsia="zh-CN"/>
              </w:rPr>
              <w:t>拨款时间</w:t>
            </w:r>
          </w:p>
        </w:tc>
        <w:tc>
          <w:tcPr>
            <w:tcW w:w="4388" w:type="dxa"/>
          </w:tcPr>
          <w:p>
            <w:pPr>
              <w:spacing w:after="156" w:afterLines="50" w:line="360" w:lineRule="auto"/>
              <w:jc w:val="left"/>
              <w:rPr>
                <w:rFonts w:hint="eastAsia" w:ascii="宋体" w:hAnsi="宋体"/>
                <w:sz w:val="24"/>
                <w:szCs w:val="24"/>
                <w:highlight w:val="none"/>
                <w:vertAlign w:val="baseline"/>
                <w:lang w:eastAsia="zh-CN"/>
              </w:rPr>
            </w:pPr>
            <w:r>
              <w:rPr>
                <w:rFonts w:hint="eastAsia" w:ascii="宋体" w:hAnsi="宋体"/>
                <w:sz w:val="24"/>
                <w:szCs w:val="24"/>
                <w:highlight w:val="none"/>
                <w:vertAlign w:val="baseline"/>
                <w:lang w:eastAsia="zh-CN"/>
              </w:rPr>
              <w:t>拨款金额（人民币</w:t>
            </w:r>
            <w:r>
              <w:rPr>
                <w:rFonts w:hint="eastAsia" w:ascii="宋体" w:hAnsi="宋体"/>
                <w:sz w:val="24"/>
                <w:szCs w:val="24"/>
                <w:highlight w:val="none"/>
                <w:vertAlign w:val="baseline"/>
                <w:lang w:val="en-US" w:eastAsia="zh-CN"/>
              </w:rPr>
              <w:t>/元</w:t>
            </w:r>
            <w:r>
              <w:rPr>
                <w:rFonts w:hint="eastAsia" w:ascii="宋体" w:hAnsi="宋体"/>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8" w:type="dxa"/>
          </w:tcPr>
          <w:p>
            <w:pPr>
              <w:spacing w:after="156" w:afterLines="50" w:line="360" w:lineRule="auto"/>
              <w:jc w:val="left"/>
              <w:rPr>
                <w:rFonts w:hint="eastAsia" w:ascii="宋体" w:hAnsi="宋体"/>
                <w:sz w:val="24"/>
                <w:szCs w:val="24"/>
                <w:highlight w:val="none"/>
                <w:vertAlign w:val="baseline"/>
                <w:lang w:val="en-US" w:eastAsia="zh-CN"/>
              </w:rPr>
            </w:pPr>
            <w:r>
              <w:rPr>
                <w:rFonts w:hint="eastAsia" w:ascii="宋体" w:hAnsi="宋体"/>
                <w:sz w:val="24"/>
                <w:szCs w:val="24"/>
                <w:highlight w:val="none"/>
                <w:vertAlign w:val="baseline"/>
                <w:lang w:val="en-US" w:eastAsia="zh-CN"/>
              </w:rPr>
              <w:t>2018年8月10日</w:t>
            </w:r>
          </w:p>
        </w:tc>
        <w:tc>
          <w:tcPr>
            <w:tcW w:w="4388" w:type="dxa"/>
          </w:tcPr>
          <w:p>
            <w:pPr>
              <w:spacing w:after="156" w:afterLines="50" w:line="360" w:lineRule="auto"/>
              <w:jc w:val="left"/>
              <w:rPr>
                <w:rFonts w:hint="eastAsia" w:ascii="宋体" w:hAnsi="宋体"/>
                <w:sz w:val="24"/>
                <w:szCs w:val="24"/>
                <w:highlight w:val="none"/>
                <w:vertAlign w:val="baseline"/>
                <w:lang w:val="en-US" w:eastAsia="zh-CN"/>
              </w:rPr>
            </w:pPr>
            <w:r>
              <w:rPr>
                <w:rFonts w:hint="eastAsia" w:ascii="宋体" w:hAnsi="宋体"/>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8" w:type="dxa"/>
          </w:tcPr>
          <w:p>
            <w:pPr>
              <w:spacing w:after="156" w:afterLines="50" w:line="360" w:lineRule="auto"/>
              <w:jc w:val="left"/>
              <w:rPr>
                <w:rFonts w:hint="eastAsia" w:ascii="宋体" w:hAnsi="宋体"/>
                <w:sz w:val="24"/>
                <w:szCs w:val="24"/>
                <w:highlight w:val="none"/>
                <w:vertAlign w:val="baseline"/>
                <w:lang w:val="en-US" w:eastAsia="zh-CN"/>
              </w:rPr>
            </w:pPr>
            <w:r>
              <w:rPr>
                <w:rFonts w:hint="eastAsia" w:ascii="宋体" w:hAnsi="宋体"/>
                <w:sz w:val="24"/>
                <w:szCs w:val="24"/>
                <w:highlight w:val="none"/>
                <w:vertAlign w:val="baseline"/>
                <w:lang w:val="en-US" w:eastAsia="zh-CN"/>
              </w:rPr>
              <w:t>2018年11月10日</w:t>
            </w:r>
          </w:p>
        </w:tc>
        <w:tc>
          <w:tcPr>
            <w:tcW w:w="4388" w:type="dxa"/>
          </w:tcPr>
          <w:p>
            <w:pPr>
              <w:spacing w:after="156" w:afterLines="50" w:line="360" w:lineRule="auto"/>
              <w:jc w:val="left"/>
              <w:rPr>
                <w:rFonts w:hint="eastAsia" w:ascii="宋体" w:hAnsi="宋体"/>
                <w:sz w:val="24"/>
                <w:szCs w:val="24"/>
                <w:highlight w:val="none"/>
                <w:vertAlign w:val="baseline"/>
                <w:lang w:val="en-US" w:eastAsia="zh-CN"/>
              </w:rPr>
            </w:pPr>
            <w:r>
              <w:rPr>
                <w:rFonts w:hint="eastAsia" w:ascii="宋体" w:hAnsi="宋体"/>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8" w:type="dxa"/>
          </w:tcPr>
          <w:p>
            <w:pPr>
              <w:spacing w:after="156" w:afterLines="50" w:line="360" w:lineRule="auto"/>
              <w:jc w:val="left"/>
              <w:rPr>
                <w:rFonts w:hint="eastAsia" w:ascii="宋体" w:hAnsi="宋体"/>
                <w:sz w:val="24"/>
                <w:szCs w:val="24"/>
                <w:highlight w:val="none"/>
                <w:vertAlign w:val="baseline"/>
                <w:lang w:val="en-US" w:eastAsia="zh-CN"/>
              </w:rPr>
            </w:pPr>
            <w:r>
              <w:rPr>
                <w:rFonts w:hint="eastAsia" w:ascii="宋体" w:hAnsi="宋体"/>
                <w:sz w:val="24"/>
                <w:szCs w:val="24"/>
                <w:highlight w:val="none"/>
                <w:vertAlign w:val="baseline"/>
                <w:lang w:val="en-US" w:eastAsia="zh-CN"/>
              </w:rPr>
              <w:t>2018年03月10日</w:t>
            </w:r>
          </w:p>
        </w:tc>
        <w:tc>
          <w:tcPr>
            <w:tcW w:w="4388" w:type="dxa"/>
          </w:tcPr>
          <w:p>
            <w:pPr>
              <w:spacing w:after="156" w:afterLines="50" w:line="360" w:lineRule="auto"/>
              <w:jc w:val="left"/>
              <w:rPr>
                <w:rFonts w:hint="eastAsia" w:ascii="宋体" w:hAnsi="宋体"/>
                <w:sz w:val="24"/>
                <w:szCs w:val="24"/>
                <w:highlight w:val="none"/>
                <w:vertAlign w:val="baseline"/>
                <w:lang w:val="en-US" w:eastAsia="zh-CN"/>
              </w:rPr>
            </w:pPr>
            <w:r>
              <w:rPr>
                <w:rFonts w:hint="eastAsia" w:ascii="宋体" w:hAnsi="宋体"/>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8" w:type="dxa"/>
          </w:tcPr>
          <w:p>
            <w:pPr>
              <w:spacing w:after="156" w:afterLines="50" w:line="360" w:lineRule="auto"/>
              <w:jc w:val="left"/>
              <w:rPr>
                <w:rFonts w:hint="eastAsia" w:ascii="宋体" w:hAnsi="宋体"/>
                <w:sz w:val="24"/>
                <w:szCs w:val="24"/>
                <w:highlight w:val="none"/>
                <w:vertAlign w:val="baseline"/>
                <w:lang w:val="en-US" w:eastAsia="zh-CN"/>
              </w:rPr>
            </w:pPr>
            <w:r>
              <w:rPr>
                <w:rFonts w:hint="eastAsia" w:ascii="宋体" w:hAnsi="宋体"/>
                <w:sz w:val="24"/>
                <w:szCs w:val="24"/>
                <w:highlight w:val="none"/>
                <w:vertAlign w:val="baseline"/>
                <w:lang w:val="en-US" w:eastAsia="zh-CN"/>
              </w:rPr>
              <w:t>2018年07月10日</w:t>
            </w:r>
          </w:p>
        </w:tc>
        <w:tc>
          <w:tcPr>
            <w:tcW w:w="4388" w:type="dxa"/>
          </w:tcPr>
          <w:p>
            <w:pPr>
              <w:spacing w:after="156" w:afterLines="50" w:line="360" w:lineRule="auto"/>
              <w:jc w:val="left"/>
              <w:rPr>
                <w:rFonts w:hint="eastAsia" w:ascii="宋体" w:hAnsi="宋体"/>
                <w:sz w:val="24"/>
                <w:szCs w:val="24"/>
                <w:highlight w:val="none"/>
                <w:vertAlign w:val="baseline"/>
                <w:lang w:val="en-US" w:eastAsia="zh-CN"/>
              </w:rPr>
            </w:pPr>
            <w:r>
              <w:rPr>
                <w:rFonts w:hint="eastAsia" w:ascii="宋体" w:hAnsi="宋体"/>
                <w:sz w:val="24"/>
                <w:szCs w:val="24"/>
                <w:highlight w:val="none"/>
                <w:vertAlign w:val="baseline"/>
                <w:lang w:val="en-US" w:eastAsia="zh-CN"/>
              </w:rPr>
              <w:t>15,000</w:t>
            </w:r>
          </w:p>
        </w:tc>
      </w:tr>
    </w:tbl>
    <w:p>
      <w:pPr>
        <w:spacing w:after="156" w:afterLines="50" w:line="360" w:lineRule="auto"/>
        <w:ind w:firstLine="480" w:firstLineChars="200"/>
        <w:jc w:val="left"/>
        <w:rPr>
          <w:rFonts w:ascii="宋体" w:hAnsi="宋体"/>
          <w:sz w:val="24"/>
          <w:szCs w:val="24"/>
          <w:highlight w:val="none"/>
        </w:rPr>
      </w:pPr>
      <w:r>
        <w:rPr>
          <w:rFonts w:hint="eastAsia" w:ascii="宋体" w:hAnsi="宋体"/>
          <w:sz w:val="24"/>
          <w:szCs w:val="24"/>
          <w:highlight w:val="none"/>
          <w:lang w:eastAsia="zh-CN"/>
        </w:rPr>
        <w:t>拨付至乙方账户；</w:t>
      </w:r>
    </w:p>
    <w:p>
      <w:pPr>
        <w:spacing w:after="156" w:afterLines="50" w:line="360" w:lineRule="auto"/>
        <w:ind w:firstLine="480" w:firstLineChars="200"/>
        <w:jc w:val="left"/>
        <w:rPr>
          <w:rFonts w:ascii="宋体" w:hAnsi="宋体"/>
          <w:sz w:val="24"/>
          <w:szCs w:val="24"/>
          <w:highlight w:val="none"/>
        </w:rPr>
      </w:pPr>
      <w:r>
        <w:rPr>
          <w:rFonts w:hint="eastAsia" w:ascii="宋体" w:hAnsi="宋体"/>
          <w:sz w:val="24"/>
          <w:szCs w:val="24"/>
          <w:highlight w:val="none"/>
        </w:rPr>
        <w:t>乙方账户信息：</w:t>
      </w:r>
    </w:p>
    <w:tbl>
      <w:tblPr>
        <w:tblStyle w:val="7"/>
        <w:tblW w:w="82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5"/>
        <w:gridCol w:w="6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trPr>
        <w:tc>
          <w:tcPr>
            <w:tcW w:w="1425" w:type="dxa"/>
          </w:tcPr>
          <w:p>
            <w:pPr>
              <w:spacing w:after="156" w:afterLines="50" w:line="360" w:lineRule="auto"/>
              <w:ind w:firstLine="480" w:firstLineChars="200"/>
              <w:jc w:val="left"/>
              <w:rPr>
                <w:rFonts w:ascii="宋体" w:hAnsi="宋体"/>
                <w:sz w:val="24"/>
                <w:szCs w:val="24"/>
              </w:rPr>
            </w:pPr>
            <w:r>
              <w:rPr>
                <w:rFonts w:ascii="宋体" w:hAnsi="宋体"/>
                <w:sz w:val="24"/>
                <w:szCs w:val="24"/>
              </w:rPr>
              <w:t>户 名</w:t>
            </w:r>
          </w:p>
        </w:tc>
        <w:tc>
          <w:tcPr>
            <w:tcW w:w="6825" w:type="dxa"/>
          </w:tcPr>
          <w:p>
            <w:pPr>
              <w:pStyle w:val="10"/>
              <w:spacing w:line="360" w:lineRule="auto"/>
              <w:ind w:firstLine="480" w:firstLineChars="200"/>
              <w:rPr>
                <w:rFonts w:ascii="宋体" w:hAnsi="宋体"/>
                <w:kern w:val="2"/>
                <w:sz w:val="24"/>
                <w:szCs w:val="24"/>
              </w:rPr>
            </w:pPr>
            <w:r>
              <w:rPr>
                <w:rFonts w:hint="eastAsia" w:ascii="宋体" w:hAnsi="宋体"/>
                <w:kern w:val="2"/>
                <w:sz w:val="24"/>
                <w:szCs w:val="24"/>
              </w:rPr>
              <w:t>王琳琳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trPr>
        <w:tc>
          <w:tcPr>
            <w:tcW w:w="1425" w:type="dxa"/>
          </w:tcPr>
          <w:p>
            <w:pPr>
              <w:spacing w:after="156" w:afterLines="50" w:line="360" w:lineRule="auto"/>
              <w:ind w:firstLine="480" w:firstLineChars="200"/>
              <w:jc w:val="left"/>
              <w:rPr>
                <w:rFonts w:ascii="宋体" w:hAnsi="宋体"/>
                <w:sz w:val="24"/>
                <w:szCs w:val="24"/>
              </w:rPr>
            </w:pPr>
            <w:r>
              <w:rPr>
                <w:rFonts w:hint="eastAsia" w:ascii="宋体" w:hAnsi="宋体"/>
                <w:sz w:val="24"/>
                <w:szCs w:val="24"/>
              </w:rPr>
              <w:t>账号</w:t>
            </w:r>
          </w:p>
        </w:tc>
        <w:tc>
          <w:tcPr>
            <w:tcW w:w="6825" w:type="dxa"/>
          </w:tcPr>
          <w:p>
            <w:pPr>
              <w:spacing w:line="360" w:lineRule="auto"/>
              <w:rPr>
                <w:rFonts w:ascii="宋体" w:hAnsi="宋体"/>
                <w:sz w:val="24"/>
                <w:szCs w:val="24"/>
              </w:rPr>
            </w:pPr>
            <w:r>
              <w:rPr>
                <w:rFonts w:hint="eastAsia" w:ascii="宋体" w:hAnsi="宋体"/>
                <w:sz w:val="24"/>
                <w:szCs w:val="24"/>
              </w:rPr>
              <w:t>6227</w:t>
            </w:r>
            <w:r>
              <w:rPr>
                <w:rFonts w:hint="eastAsia" w:ascii="宋体" w:hAnsi="宋体"/>
                <w:sz w:val="24"/>
                <w:szCs w:val="24"/>
                <w:lang w:val="en-US" w:eastAsia="zh-CN"/>
              </w:rPr>
              <w:t xml:space="preserve"> </w:t>
            </w:r>
            <w:r>
              <w:rPr>
                <w:rFonts w:hint="eastAsia" w:ascii="宋体" w:hAnsi="宋体"/>
                <w:sz w:val="24"/>
                <w:szCs w:val="24"/>
              </w:rPr>
              <w:t>0012</w:t>
            </w:r>
            <w:r>
              <w:rPr>
                <w:rFonts w:hint="eastAsia" w:ascii="宋体" w:hAnsi="宋体"/>
                <w:sz w:val="24"/>
                <w:szCs w:val="24"/>
                <w:lang w:val="en-US" w:eastAsia="zh-CN"/>
              </w:rPr>
              <w:t xml:space="preserve"> </w:t>
            </w:r>
            <w:r>
              <w:rPr>
                <w:rFonts w:hint="eastAsia" w:ascii="宋体" w:hAnsi="宋体"/>
                <w:sz w:val="24"/>
                <w:szCs w:val="24"/>
              </w:rPr>
              <w:t>1487</w:t>
            </w:r>
            <w:r>
              <w:rPr>
                <w:rFonts w:hint="eastAsia" w:ascii="宋体" w:hAnsi="宋体"/>
                <w:sz w:val="24"/>
                <w:szCs w:val="24"/>
                <w:lang w:val="en-US" w:eastAsia="zh-CN"/>
              </w:rPr>
              <w:t xml:space="preserve"> </w:t>
            </w:r>
            <w:r>
              <w:rPr>
                <w:rFonts w:hint="eastAsia" w:ascii="宋体" w:hAnsi="宋体"/>
                <w:sz w:val="24"/>
                <w:szCs w:val="24"/>
              </w:rPr>
              <w:t>0062</w:t>
            </w:r>
            <w:r>
              <w:rPr>
                <w:rFonts w:hint="eastAsia" w:ascii="宋体" w:hAnsi="宋体"/>
                <w:sz w:val="24"/>
                <w:szCs w:val="24"/>
                <w:lang w:val="en-US" w:eastAsia="zh-CN"/>
              </w:rPr>
              <w:t xml:space="preserve"> </w:t>
            </w:r>
            <w:r>
              <w:rPr>
                <w:rFonts w:hint="eastAsia" w:ascii="宋体" w:hAnsi="宋体"/>
                <w:sz w:val="24"/>
                <w:szCs w:val="24"/>
              </w:rPr>
              <w:t>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trPr>
        <w:tc>
          <w:tcPr>
            <w:tcW w:w="1425" w:type="dxa"/>
          </w:tcPr>
          <w:p>
            <w:pPr>
              <w:spacing w:after="156" w:afterLines="50" w:line="360" w:lineRule="auto"/>
              <w:ind w:firstLine="480" w:firstLineChars="200"/>
              <w:jc w:val="left"/>
              <w:rPr>
                <w:rFonts w:ascii="宋体" w:hAnsi="宋体"/>
                <w:sz w:val="24"/>
                <w:szCs w:val="24"/>
              </w:rPr>
            </w:pPr>
            <w:r>
              <w:rPr>
                <w:rFonts w:ascii="宋体" w:hAnsi="宋体"/>
                <w:sz w:val="24"/>
                <w:szCs w:val="24"/>
              </w:rPr>
              <w:t>开户行</w:t>
            </w:r>
          </w:p>
        </w:tc>
        <w:tc>
          <w:tcPr>
            <w:tcW w:w="6825" w:type="dxa"/>
          </w:tcPr>
          <w:p>
            <w:pPr>
              <w:pStyle w:val="10"/>
              <w:spacing w:line="360" w:lineRule="auto"/>
              <w:rPr>
                <w:rFonts w:hint="eastAsia" w:ascii="宋体" w:hAnsi="宋体" w:eastAsia="宋体"/>
                <w:kern w:val="2"/>
                <w:sz w:val="24"/>
                <w:szCs w:val="24"/>
                <w:lang w:eastAsia="zh-CN"/>
              </w:rPr>
            </w:pPr>
            <w:r>
              <w:rPr>
                <w:rFonts w:hint="eastAsia" w:ascii="宋体" w:hAnsi="宋体"/>
                <w:kern w:val="2"/>
                <w:sz w:val="24"/>
                <w:szCs w:val="24"/>
              </w:rPr>
              <w:t>中国建设银行</w:t>
            </w:r>
            <w:r>
              <w:rPr>
                <w:rFonts w:hint="eastAsia" w:ascii="宋体" w:hAnsi="宋体"/>
                <w:kern w:val="2"/>
                <w:sz w:val="24"/>
                <w:szCs w:val="24"/>
                <w:lang w:eastAsia="zh-CN"/>
              </w:rPr>
              <w:t>上海六里支行</w:t>
            </w:r>
          </w:p>
        </w:tc>
      </w:tr>
    </w:tbl>
    <w:p>
      <w:pPr>
        <w:numPr>
          <w:ilvl w:val="0"/>
          <w:numId w:val="1"/>
        </w:numPr>
        <w:spacing w:after="156" w:afterLines="50" w:line="360" w:lineRule="auto"/>
        <w:ind w:firstLine="482" w:firstLineChars="200"/>
        <w:jc w:val="left"/>
        <w:rPr>
          <w:rFonts w:ascii="宋体" w:hAnsi="宋体"/>
          <w:b/>
          <w:bCs/>
          <w:sz w:val="24"/>
          <w:szCs w:val="24"/>
        </w:rPr>
      </w:pPr>
      <w:r>
        <w:rPr>
          <w:rFonts w:hint="eastAsia" w:ascii="宋体" w:hAnsi="宋体"/>
          <w:b/>
          <w:bCs/>
          <w:sz w:val="24"/>
          <w:szCs w:val="24"/>
        </w:rPr>
        <w:t>项目进展及资金使用情况的监测</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项目总结报告：在</w:t>
      </w:r>
      <w:r>
        <w:rPr>
          <w:rFonts w:hint="eastAsia" w:ascii="宋体" w:hAnsi="宋体"/>
          <w:sz w:val="24"/>
          <w:szCs w:val="24"/>
          <w:lang w:eastAsia="zh-CN"/>
        </w:rPr>
        <w:t>沙龙活动执行周期</w:t>
      </w:r>
      <w:r>
        <w:rPr>
          <w:rFonts w:hint="eastAsia" w:ascii="宋体" w:hAnsi="宋体"/>
          <w:sz w:val="24"/>
          <w:szCs w:val="24"/>
        </w:rPr>
        <w:t>结束后，乙方应在十五个工作日内</w:t>
      </w:r>
      <w:r>
        <w:rPr>
          <w:rFonts w:hint="eastAsia" w:ascii="宋体" w:hAnsi="宋体"/>
          <w:sz w:val="24"/>
          <w:szCs w:val="24"/>
          <w:lang w:eastAsia="zh-CN"/>
        </w:rPr>
        <w:t>向</w:t>
      </w:r>
      <w:r>
        <w:rPr>
          <w:rFonts w:hint="eastAsia" w:ascii="宋体" w:hAnsi="宋体"/>
          <w:sz w:val="24"/>
          <w:szCs w:val="24"/>
        </w:rPr>
        <w:t>甲方提供项目产出报告，项目借项报告以及资金使用决算表等。</w:t>
      </w:r>
    </w:p>
    <w:p>
      <w:pPr>
        <w:numPr>
          <w:ilvl w:val="0"/>
          <w:numId w:val="1"/>
        </w:numPr>
        <w:spacing w:after="156" w:afterLines="50" w:line="360" w:lineRule="auto"/>
        <w:ind w:firstLine="482" w:firstLineChars="200"/>
        <w:jc w:val="left"/>
        <w:rPr>
          <w:rFonts w:ascii="宋体" w:hAnsi="宋体"/>
          <w:b/>
          <w:bCs/>
          <w:sz w:val="24"/>
          <w:szCs w:val="24"/>
        </w:rPr>
      </w:pPr>
      <w:r>
        <w:rPr>
          <w:rFonts w:hint="eastAsia" w:ascii="宋体" w:hAnsi="宋体"/>
          <w:b/>
          <w:bCs/>
          <w:sz w:val="24"/>
          <w:szCs w:val="24"/>
        </w:rPr>
        <w:t>签约双方权利义务</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5.1 甲方应当按照本协议的约定向乙方提供资助款；乙方有义务按照本协议（包括本协议附件）的要求，实施与甲方所约定好的资助内容；乙方应当合理使用资助款项，厉行节俭，杜绝浪费，努力提高资金的使用效率，促进研究发展，并产生良好的社会效应。</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5.2 乙方作为受助方有义务为甲方因为审计需要提供相关项目或机构活动开展的原始文字材料、图片以及视频等信息。</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5.3 如乙方就受助内容等重要方面提出变更要求的，应当向甲方提出书面申请并征得甲方的书面同意。</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5.4 乙方如有下列行为，甲方有权停止拨付资助款，而且有权撤销全部资助，并要求乙方归还全部资助款项（包括已拨付但还未使用的款项），具体如下：</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（1）由于乙方原因导致未能在项目周期的时间内开始实施甲方所资助的项目内容，或者项目进展缓慢，严重违反项目计划的；</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（2）未经甲方同意，乙方擅自变更资助活动内容与方向，对甲方产生重大负面影响，致使不能达到双方合作目标和预期效果的；</w:t>
      </w:r>
    </w:p>
    <w:p>
      <w:pPr>
        <w:spacing w:after="156" w:afterLines="50" w:line="360" w:lineRule="auto"/>
        <w:ind w:firstLine="482" w:firstLineChars="200"/>
        <w:jc w:val="left"/>
        <w:rPr>
          <w:rFonts w:ascii="宋体" w:hAnsi="宋体"/>
          <w:b/>
          <w:bCs/>
          <w:sz w:val="24"/>
          <w:szCs w:val="24"/>
        </w:rPr>
      </w:pPr>
      <w:r>
        <w:rPr>
          <w:rFonts w:hint="eastAsia" w:ascii="宋体" w:hAnsi="宋体"/>
          <w:b/>
          <w:bCs/>
          <w:sz w:val="24"/>
          <w:szCs w:val="24"/>
        </w:rPr>
        <w:t>六、项目宣传资助方的名誉保证</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6.1 在本项目对外宣传过程中，乙方均应明确表明“</w:t>
      </w:r>
      <w:r>
        <w:rPr>
          <w:rFonts w:hint="eastAsia" w:ascii="宋体" w:hAnsi="宋体"/>
          <w:b/>
          <w:bCs/>
          <w:sz w:val="24"/>
          <w:szCs w:val="24"/>
        </w:rPr>
        <w:t>福建省正荣公益基金会</w:t>
      </w:r>
      <w:r>
        <w:rPr>
          <w:rFonts w:hint="eastAsia" w:ascii="宋体" w:hAnsi="宋体"/>
          <w:sz w:val="24"/>
          <w:szCs w:val="24"/>
        </w:rPr>
        <w:t>”、“</w:t>
      </w:r>
      <w:r>
        <w:rPr>
          <w:rFonts w:hint="eastAsia" w:ascii="宋体" w:hAnsi="宋体"/>
          <w:b/>
          <w:bCs/>
          <w:sz w:val="24"/>
          <w:szCs w:val="24"/>
        </w:rPr>
        <w:t>隐秘王国</w:t>
      </w:r>
      <w:r>
        <w:rPr>
          <w:rFonts w:hint="eastAsia" w:ascii="宋体" w:hAnsi="宋体"/>
          <w:sz w:val="24"/>
          <w:szCs w:val="24"/>
        </w:rPr>
        <w:t>”作为资助方的地位；福建省正荣公益基金会的相关发起方在进行自身宣传过程中，有权表明作为本项目资助方的地位，并有权使用本项目的名称、标识、方案、形象、内容等与项目有关的信息。</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6.2 在本项目范围内，乙方可以在网站上和宣传品上按“</w:t>
      </w:r>
      <w:r>
        <w:rPr>
          <w:rFonts w:hint="eastAsia" w:ascii="宋体" w:hAnsi="宋体"/>
          <w:b/>
          <w:bCs/>
          <w:sz w:val="24"/>
          <w:szCs w:val="24"/>
        </w:rPr>
        <w:t>福建省正荣公益基金会</w:t>
      </w:r>
      <w:r>
        <w:rPr>
          <w:rFonts w:hint="eastAsia" w:ascii="宋体" w:hAnsi="宋体"/>
          <w:sz w:val="24"/>
          <w:szCs w:val="24"/>
        </w:rPr>
        <w:t>”、“</w:t>
      </w:r>
      <w:r>
        <w:rPr>
          <w:rFonts w:hint="eastAsia" w:ascii="宋体" w:hAnsi="宋体"/>
          <w:b/>
          <w:bCs/>
          <w:sz w:val="24"/>
          <w:szCs w:val="24"/>
        </w:rPr>
        <w:t>隐秘王国</w:t>
      </w:r>
      <w:r>
        <w:rPr>
          <w:rFonts w:hint="eastAsia" w:ascii="宋体" w:hAnsi="宋体"/>
          <w:sz w:val="24"/>
          <w:szCs w:val="24"/>
        </w:rPr>
        <w:t>”的VI标准以及资助方的LOGO的VI标准进行使用。</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6.3 在由本项目资助而产生的具有宣传或成果性质的物品或资料中，乙方均应当在物品或资料的显著位置注明“</w:t>
      </w:r>
      <w:r>
        <w:rPr>
          <w:rFonts w:hint="eastAsia" w:ascii="宋体" w:hAnsi="宋体"/>
          <w:b/>
          <w:bCs/>
          <w:sz w:val="24"/>
          <w:szCs w:val="24"/>
        </w:rPr>
        <w:t>福建省正荣公益基金会</w:t>
      </w:r>
      <w:r>
        <w:rPr>
          <w:rFonts w:hint="eastAsia" w:ascii="宋体" w:hAnsi="宋体"/>
          <w:sz w:val="24"/>
          <w:szCs w:val="24"/>
        </w:rPr>
        <w:t>”、“</w:t>
      </w:r>
      <w:r>
        <w:rPr>
          <w:rFonts w:hint="eastAsia" w:ascii="宋体" w:hAnsi="宋体"/>
          <w:b/>
          <w:bCs/>
          <w:sz w:val="24"/>
          <w:szCs w:val="24"/>
        </w:rPr>
        <w:t>隐秘王国</w:t>
      </w:r>
      <w:r>
        <w:rPr>
          <w:rFonts w:hint="eastAsia" w:ascii="宋体" w:hAnsi="宋体"/>
          <w:sz w:val="24"/>
          <w:szCs w:val="24"/>
        </w:rPr>
        <w:t>”名称及其资助方地位。</w:t>
      </w:r>
    </w:p>
    <w:p>
      <w:pPr>
        <w:spacing w:after="156" w:afterLines="50" w:line="360" w:lineRule="auto"/>
        <w:ind w:firstLine="482" w:firstLineChars="200"/>
        <w:jc w:val="left"/>
        <w:rPr>
          <w:rFonts w:ascii="宋体" w:hAnsi="宋体"/>
          <w:b/>
          <w:bCs/>
          <w:sz w:val="24"/>
          <w:szCs w:val="24"/>
        </w:rPr>
      </w:pPr>
      <w:r>
        <w:rPr>
          <w:rFonts w:hint="eastAsia" w:ascii="宋体" w:hAnsi="宋体"/>
          <w:b/>
          <w:bCs/>
          <w:sz w:val="24"/>
          <w:szCs w:val="24"/>
        </w:rPr>
        <w:t>七、信息披露</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给予甲方规范化和透明化的组织发展原则，甲方有权面向公众披露包括本项目在内的甲方所资助项目的过程和成果方面的项目信息，其中包括但不限于项目建议书、捐赠协议、预算细目、项目实施进展报告、财务检查报告、评估报告、结项报告、财务开支状况等方面的信息。</w:t>
      </w:r>
    </w:p>
    <w:p>
      <w:pPr>
        <w:numPr>
          <w:ilvl w:val="0"/>
          <w:numId w:val="2"/>
        </w:numPr>
        <w:spacing w:after="156" w:afterLines="50" w:line="360" w:lineRule="auto"/>
        <w:ind w:firstLine="482" w:firstLineChars="200"/>
        <w:jc w:val="left"/>
        <w:rPr>
          <w:rFonts w:ascii="宋体" w:hAnsi="宋体"/>
          <w:b/>
          <w:bCs/>
          <w:sz w:val="24"/>
          <w:szCs w:val="24"/>
        </w:rPr>
      </w:pPr>
      <w:r>
        <w:rPr>
          <w:rFonts w:hint="eastAsia" w:ascii="宋体" w:hAnsi="宋体"/>
          <w:b/>
          <w:bCs/>
          <w:sz w:val="24"/>
          <w:szCs w:val="24"/>
        </w:rPr>
        <w:t>协议生效与终止</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本协议在甲乙双方均签字后生效，有效期为本协议制定项目的项目周期。</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本协议约定的终止情况发生的，有权解除和终止本协议的一方应当向其他方发出接触和终止本协议的通知，并在该通知送达其他方式发生终止协议效力。</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本协议终止的，双方应当进行清算，如存在已拨付单位使用的款项和物资的，应当按照约定归还甲方。</w:t>
      </w:r>
    </w:p>
    <w:p>
      <w:pPr>
        <w:numPr>
          <w:ilvl w:val="0"/>
          <w:numId w:val="2"/>
        </w:numPr>
        <w:spacing w:after="156" w:afterLines="50" w:line="360" w:lineRule="auto"/>
        <w:ind w:firstLine="482" w:firstLineChars="200"/>
        <w:jc w:val="left"/>
        <w:rPr>
          <w:rFonts w:ascii="宋体" w:hAnsi="宋体"/>
          <w:b/>
          <w:bCs/>
          <w:sz w:val="24"/>
          <w:szCs w:val="24"/>
        </w:rPr>
      </w:pPr>
      <w:r>
        <w:rPr>
          <w:rFonts w:hint="eastAsia" w:ascii="宋体" w:hAnsi="宋体"/>
          <w:b/>
          <w:bCs/>
          <w:sz w:val="24"/>
          <w:szCs w:val="24"/>
        </w:rPr>
        <w:t>补充条款</w:t>
      </w:r>
    </w:p>
    <w:p>
      <w:pPr>
        <w:spacing w:after="156" w:afterLines="50" w:line="360" w:lineRule="auto"/>
        <w:ind w:firstLine="480" w:firstLineChars="200"/>
        <w:jc w:val="left"/>
        <w:rPr>
          <w:rFonts w:ascii="宋体" w:hAnsi="宋体"/>
          <w:sz w:val="24"/>
          <w:szCs w:val="24"/>
        </w:rPr>
      </w:pPr>
      <w:r>
        <w:rPr>
          <w:rFonts w:hint="eastAsia" w:ascii="宋体" w:hAnsi="宋体"/>
          <w:sz w:val="24"/>
          <w:szCs w:val="24"/>
        </w:rPr>
        <w:t>本协议未尽事宜，由双方另行协商。所形成的补充条款与本协议内容同等有效，如补充条款与本协议条款冲突，以补充条款为准。</w:t>
      </w:r>
    </w:p>
    <w:p>
      <w:pPr>
        <w:numPr>
          <w:ilvl w:val="0"/>
          <w:numId w:val="2"/>
        </w:numPr>
        <w:spacing w:after="156" w:afterLines="50" w:line="360" w:lineRule="auto"/>
        <w:ind w:firstLine="482" w:firstLineChars="200"/>
        <w:jc w:val="left"/>
        <w:rPr>
          <w:rFonts w:ascii="宋体" w:hAnsi="宋体"/>
          <w:b/>
          <w:bCs/>
          <w:sz w:val="24"/>
          <w:szCs w:val="24"/>
        </w:rPr>
      </w:pPr>
      <w:r>
        <w:rPr>
          <w:rFonts w:hint="eastAsia" w:ascii="宋体" w:hAnsi="宋体"/>
          <w:b/>
          <w:bCs/>
          <w:sz w:val="24"/>
          <w:szCs w:val="24"/>
        </w:rPr>
        <w:t>附则</w:t>
      </w:r>
    </w:p>
    <w:p>
      <w:pPr>
        <w:numPr>
          <w:ilvl w:val="0"/>
          <w:numId w:val="3"/>
        </w:numPr>
        <w:spacing w:after="156" w:afterLines="50" w:line="360" w:lineRule="auto"/>
        <w:ind w:firstLine="480" w:firstLineChars="200"/>
        <w:jc w:val="left"/>
        <w:rPr>
          <w:rFonts w:ascii="宋体" w:hAnsi="宋体"/>
          <w:sz w:val="24"/>
          <w:szCs w:val="24"/>
        </w:rPr>
      </w:pPr>
      <w:r>
        <w:rPr>
          <w:rFonts w:hint="eastAsia" w:ascii="宋体" w:hAnsi="宋体"/>
          <w:sz w:val="24"/>
          <w:szCs w:val="24"/>
        </w:rPr>
        <w:t>本协议正本一式两份，甲、乙双方各执一份，具有同等法律效力。</w:t>
      </w:r>
    </w:p>
    <w:p>
      <w:pPr>
        <w:numPr>
          <w:ilvl w:val="0"/>
          <w:numId w:val="3"/>
        </w:numPr>
        <w:spacing w:after="156" w:afterLines="50" w:line="360" w:lineRule="auto"/>
        <w:ind w:firstLine="480" w:firstLineChars="200"/>
        <w:jc w:val="left"/>
        <w:rPr>
          <w:rFonts w:ascii="宋体" w:hAnsi="宋体"/>
          <w:sz w:val="24"/>
          <w:szCs w:val="24"/>
        </w:rPr>
      </w:pPr>
      <w:r>
        <w:rPr>
          <w:rFonts w:hint="eastAsia" w:ascii="宋体" w:hAnsi="宋体"/>
          <w:sz w:val="24"/>
          <w:szCs w:val="24"/>
        </w:rPr>
        <w:t>本协议福建合协议具有同等法律效力。本协议附件为：</w:t>
      </w:r>
    </w:p>
    <w:p>
      <w:pPr>
        <w:spacing w:after="156" w:afterLines="50" w:line="360" w:lineRule="auto"/>
        <w:ind w:firstLine="480" w:firstLineChars="200"/>
        <w:jc w:val="left"/>
        <w:rPr>
          <w:rFonts w:hint="eastAsia" w:ascii="宋体" w:hAnsi="宋体"/>
          <w:sz w:val="24"/>
          <w:szCs w:val="24"/>
          <w:highlight w:val="none"/>
        </w:rPr>
      </w:pPr>
      <w:r>
        <w:rPr>
          <w:rFonts w:hint="eastAsia" w:ascii="宋体" w:hAnsi="宋体"/>
          <w:sz w:val="24"/>
          <w:szCs w:val="24"/>
        </w:rPr>
        <w:t xml:space="preserve"> </w:t>
      </w:r>
      <w:r>
        <w:rPr>
          <w:rFonts w:hint="eastAsia" w:ascii="宋体" w:hAnsi="宋体"/>
          <w:sz w:val="24"/>
          <w:szCs w:val="24"/>
          <w:highlight w:val="none"/>
        </w:rPr>
        <w:t xml:space="preserve">  附件1：</w:t>
      </w:r>
      <w:r>
        <w:rPr>
          <w:rFonts w:hint="eastAsia" w:ascii="宋体" w:hAnsi="宋体"/>
          <w:sz w:val="24"/>
          <w:szCs w:val="24"/>
          <w:highlight w:val="none"/>
          <w:lang w:val="en-US" w:eastAsia="zh-CN"/>
        </w:rPr>
        <w:t>隐秘王国公益沙龙传播规范</w:t>
      </w:r>
    </w:p>
    <w:p>
      <w:pPr>
        <w:spacing w:after="156" w:afterLines="50" w:line="360" w:lineRule="auto"/>
        <w:ind w:firstLine="480" w:firstLineChars="200"/>
        <w:jc w:val="left"/>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 xml:space="preserve">   附件2：</w:t>
      </w:r>
      <w:r>
        <w:rPr>
          <w:rFonts w:hint="eastAsia" w:ascii="宋体" w:hAnsi="宋体"/>
          <w:sz w:val="24"/>
          <w:szCs w:val="24"/>
          <w:highlight w:val="none"/>
        </w:rPr>
        <w:t>福建省正荣公益基金会财务管理办法</w:t>
      </w:r>
      <w:bookmarkStart w:id="0" w:name="_GoBack"/>
      <w:bookmarkEnd w:id="0"/>
    </w:p>
    <w:p>
      <w:pPr>
        <w:spacing w:after="156" w:afterLines="50"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   附加</w:t>
      </w:r>
      <w:r>
        <w:rPr>
          <w:rFonts w:hint="eastAsia" w:ascii="宋体" w:hAnsi="宋体"/>
          <w:sz w:val="24"/>
          <w:szCs w:val="24"/>
          <w:highlight w:val="none"/>
          <w:lang w:val="en-US" w:eastAsia="zh-CN"/>
        </w:rPr>
        <w:t>3</w:t>
      </w:r>
      <w:r>
        <w:rPr>
          <w:rFonts w:hint="eastAsia" w:ascii="宋体" w:hAnsi="宋体"/>
          <w:sz w:val="24"/>
          <w:szCs w:val="24"/>
          <w:highlight w:val="none"/>
        </w:rPr>
        <w:t>：项目立项书</w:t>
      </w:r>
    </w:p>
    <w:p>
      <w:pPr>
        <w:spacing w:after="156" w:afterLines="50" w:line="360" w:lineRule="auto"/>
        <w:ind w:firstLine="480" w:firstLineChars="200"/>
        <w:jc w:val="left"/>
        <w:rPr>
          <w:rFonts w:ascii="宋体" w:hAnsi="宋体"/>
          <w:sz w:val="24"/>
          <w:szCs w:val="24"/>
        </w:rPr>
      </w:pPr>
    </w:p>
    <w:p>
      <w:pPr>
        <w:spacing w:after="156" w:afterLines="50" w:line="360" w:lineRule="auto"/>
        <w:rPr>
          <w:rFonts w:ascii="宋体" w:hAnsi="宋体"/>
          <w:sz w:val="24"/>
          <w:szCs w:val="24"/>
        </w:rPr>
      </w:pPr>
      <w:r>
        <w:rPr>
          <w:rFonts w:hint="eastAsia" w:ascii="宋体" w:hAnsi="宋体"/>
          <w:sz w:val="24"/>
          <w:szCs w:val="24"/>
        </w:rPr>
        <w:t>甲方：福建省正荣公益基金会                  乙方：上海FN小组</w:t>
      </w:r>
    </w:p>
    <w:p>
      <w:pPr>
        <w:spacing w:after="156" w:afterLines="50" w:line="360" w:lineRule="auto"/>
        <w:rPr>
          <w:rFonts w:ascii="宋体" w:hAnsi="宋体"/>
          <w:sz w:val="24"/>
          <w:szCs w:val="24"/>
        </w:rPr>
      </w:pPr>
      <w:r>
        <w:rPr>
          <w:rFonts w:hint="eastAsia" w:ascii="宋体" w:hAnsi="宋体"/>
          <w:sz w:val="24"/>
          <w:szCs w:val="24"/>
        </w:rPr>
        <w:t>签字（盖章）                                签字（盖章）</w:t>
      </w:r>
    </w:p>
    <w:p>
      <w:pPr>
        <w:rPr>
          <w:rFonts w:ascii="宋体" w:hAnsi="宋体"/>
          <w:sz w:val="24"/>
          <w:szCs w:val="24"/>
        </w:rPr>
      </w:pPr>
      <w:r>
        <w:rPr>
          <w:rFonts w:hint="eastAsia" w:ascii="宋体" w:hAnsi="宋体"/>
          <w:sz w:val="24"/>
          <w:szCs w:val="24"/>
        </w:rPr>
        <w:t>日期：                                      日期：</w:t>
      </w:r>
    </w:p>
    <w:p>
      <w:pPr>
        <w:widowControl/>
        <w:jc w:val="left"/>
        <w:rPr>
          <w:rFonts w:ascii="宋体" w:hAnsi="宋体"/>
          <w:sz w:val="24"/>
          <w:szCs w:val="24"/>
        </w:rPr>
      </w:pPr>
      <w:r>
        <w:rPr>
          <w:rFonts w:ascii="宋体" w:hAnsi="宋体"/>
          <w:sz w:val="24"/>
          <w:szCs w:val="24"/>
        </w:rPr>
        <w:br w:type="page"/>
      </w:r>
      <w:r>
        <w:rPr>
          <w:rFonts w:hint="eastAsia"/>
          <w:sz w:val="24"/>
          <w:szCs w:val="24"/>
        </w:rPr>
        <w:t>附件1：</w:t>
      </w:r>
    </w:p>
    <w:p>
      <w:pPr>
        <w:spacing w:line="360" w:lineRule="auto"/>
        <w:ind w:firstLine="482" w:firstLineChars="150"/>
        <w:jc w:val="center"/>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隐秘王国公益沙龙传播要求</w:t>
      </w:r>
    </w:p>
    <w:p>
      <w:pPr>
        <w:spacing w:line="360" w:lineRule="auto"/>
        <w:ind w:firstLine="361" w:firstLineChars="15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一、传播规范</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1、沙龙名称</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沙龙名称【隐秘王国公益沙龙】，实际应用中可使用“隐秘王国公益沙龙之……活动/工作坊”等。</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2、现场布置</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统一识别系统，活动现场主视觉要体现隐秘王国logo；标明“隐秘王国出资支持/隐秘王国与FN小组联合发起”。</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现场需要挂“隐秘王国”旗帜；旗帜尺寸不得小于90X60公分。</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活动中对隐秘王国logo的体现，不限定载体，但不得改变logo的形状、颜色。</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活动现场，开场介绍“隐秘王国”。传播过程中，凡涉及项目介绍部分，统一使用样稿的表述。</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样稿：</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eastAsia="zh-CN"/>
        </w:rPr>
        <w:t>“隐秘王国”是由爱猫人士“搓搓爸”捐资在正荣公益基金会设立的专项公益项目。该项目旨在向公众传递科学理性的救助理念，助力流浪猫救助组织成长，帮助公益人获得更多的支持。</w:t>
      </w:r>
    </w:p>
    <w:p>
      <w:pPr>
        <w:spacing w:line="360" w:lineRule="auto"/>
        <w:ind w:firstLine="361" w:firstLineChars="15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二、传播内容</w:t>
      </w:r>
    </w:p>
    <w:p>
      <w:pPr>
        <w:spacing w:line="360" w:lineRule="auto"/>
        <w:ind w:firstLine="360" w:firstLineChars="150"/>
        <w:rPr>
          <w:rFonts w:hint="eastAsia" w:ascii="宋体" w:hAnsi="宋体"/>
          <w:color w:val="000000"/>
          <w:sz w:val="24"/>
          <w:szCs w:val="24"/>
          <w:highlight w:val="none"/>
          <w:lang w:val="en-US" w:eastAsia="zh-CN"/>
        </w:rPr>
      </w:pPr>
      <w:r>
        <w:rPr>
          <w:rFonts w:hint="eastAsia" w:ascii="宋体" w:hAnsi="宋体"/>
          <w:color w:val="000000"/>
          <w:sz w:val="24"/>
          <w:szCs w:val="24"/>
          <w:lang w:val="en-US" w:eastAsia="zh-CN"/>
        </w:rPr>
        <w:t>1、每期沙龙都要在微信公众号推出预告+回顾；</w:t>
      </w:r>
      <w:r>
        <w:rPr>
          <w:rFonts w:hint="eastAsia" w:ascii="宋体" w:hAnsi="宋体"/>
          <w:b/>
          <w:bCs/>
          <w:color w:val="000000"/>
          <w:sz w:val="24"/>
          <w:szCs w:val="24"/>
          <w:lang w:val="en-US" w:eastAsia="zh-CN"/>
        </w:rPr>
        <w:t>预告要求至少</w:t>
      </w:r>
      <w:r>
        <w:rPr>
          <w:rFonts w:hint="eastAsia" w:ascii="宋体" w:hAnsi="宋体"/>
          <w:b/>
          <w:bCs/>
          <w:color w:val="000000"/>
          <w:sz w:val="24"/>
          <w:szCs w:val="24"/>
          <w:highlight w:val="none"/>
          <w:lang w:val="en-US" w:eastAsia="zh-CN"/>
        </w:rPr>
        <w:t>提前5个工作日发送至传播负责人</w:t>
      </w:r>
      <w:r>
        <w:rPr>
          <w:rFonts w:hint="eastAsia" w:ascii="宋体" w:hAnsi="宋体"/>
          <w:color w:val="000000"/>
          <w:sz w:val="24"/>
          <w:szCs w:val="24"/>
          <w:highlight w:val="none"/>
          <w:lang w:val="en-US" w:eastAsia="zh-CN"/>
        </w:rPr>
        <w:t>，预告内容参考公众号“公益大爆炸”上的预告。沙龙回顾要在活动结束</w:t>
      </w:r>
      <w:r>
        <w:rPr>
          <w:rFonts w:hint="eastAsia" w:ascii="宋体" w:hAnsi="宋体"/>
          <w:b/>
          <w:bCs/>
          <w:color w:val="000000"/>
          <w:sz w:val="24"/>
          <w:szCs w:val="24"/>
          <w:highlight w:val="none"/>
          <w:lang w:val="en-US" w:eastAsia="zh-CN"/>
        </w:rPr>
        <w:t>3个工作日内发送至传播负责人</w:t>
      </w:r>
      <w:r>
        <w:rPr>
          <w:rFonts w:hint="eastAsia" w:ascii="宋体" w:hAnsi="宋体"/>
          <w:color w:val="000000"/>
          <w:sz w:val="24"/>
          <w:szCs w:val="24"/>
          <w:highlight w:val="none"/>
          <w:lang w:val="en-US" w:eastAsia="zh-CN"/>
        </w:rPr>
        <w:t>。</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2、内容要求：预告内容至少要包括活动主题、活动简介、活动时间、活动地点、参与人群及数量要求。回顾文稿要求将活动内容记录清楚，不少于600字；如果有嘉宾分享，尽可能整理出分享内容。照片要求图片质量清晰，活动内容主体突出，有品牌露出，照片文件规格不小于3M。活动结束后图文打包发送至传播负责人。</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3、参照“公益大爆炸”上的沙龙预告与回顾，</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预告参考范文链接：</w:t>
      </w:r>
      <w:r>
        <w:rPr>
          <w:rFonts w:hint="eastAsia" w:ascii="宋体" w:hAnsi="宋体"/>
          <w:color w:val="000000"/>
          <w:sz w:val="24"/>
          <w:szCs w:val="24"/>
          <w:lang w:val="en-US" w:eastAsia="zh-CN"/>
        </w:rPr>
        <w:fldChar w:fldCharType="begin"/>
      </w:r>
      <w:r>
        <w:rPr>
          <w:rFonts w:hint="eastAsia" w:ascii="宋体" w:hAnsi="宋体"/>
          <w:color w:val="000000"/>
          <w:sz w:val="24"/>
          <w:szCs w:val="24"/>
          <w:lang w:val="en-US" w:eastAsia="zh-CN"/>
        </w:rPr>
        <w:instrText xml:space="preserve"> HYPERLINK "https://mp.weixin.qq.com/s/-Vi1iauhyybZmKG_27dnAQ" </w:instrText>
      </w:r>
      <w:r>
        <w:rPr>
          <w:rFonts w:hint="eastAsia" w:ascii="宋体" w:hAnsi="宋体"/>
          <w:color w:val="000000"/>
          <w:sz w:val="24"/>
          <w:szCs w:val="24"/>
          <w:lang w:val="en-US" w:eastAsia="zh-CN"/>
        </w:rPr>
        <w:fldChar w:fldCharType="separate"/>
      </w:r>
      <w:r>
        <w:rPr>
          <w:rStyle w:val="6"/>
          <w:rFonts w:hint="eastAsia" w:ascii="宋体" w:hAnsi="宋体"/>
          <w:color w:val="000000"/>
          <w:sz w:val="24"/>
          <w:szCs w:val="24"/>
          <w:lang w:val="en-US" w:eastAsia="zh-CN"/>
        </w:rPr>
        <w:t>https://mp.weixin.qq.com/s/-Vi1iauhyybZmKG_27dnAQ</w:t>
      </w:r>
      <w:r>
        <w:rPr>
          <w:rFonts w:hint="eastAsia" w:ascii="宋体" w:hAnsi="宋体"/>
          <w:color w:val="000000"/>
          <w:sz w:val="24"/>
          <w:szCs w:val="24"/>
          <w:lang w:val="en-US" w:eastAsia="zh-CN"/>
        </w:rPr>
        <w:fldChar w:fldCharType="end"/>
      </w:r>
      <w:r>
        <w:rPr>
          <w:rFonts w:hint="eastAsia" w:ascii="宋体" w:hAnsi="宋体"/>
          <w:color w:val="000000"/>
          <w:sz w:val="24"/>
          <w:szCs w:val="24"/>
          <w:lang w:val="en-US" w:eastAsia="zh-CN"/>
        </w:rPr>
        <w:t xml:space="preserve"> </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t>回顾参考范文链接：</w:t>
      </w:r>
      <w:r>
        <w:rPr>
          <w:rFonts w:hint="eastAsia" w:ascii="宋体" w:hAnsi="宋体"/>
          <w:color w:val="000000"/>
          <w:sz w:val="24"/>
          <w:szCs w:val="24"/>
          <w:lang w:val="en-US" w:eastAsia="zh-CN"/>
        </w:rPr>
        <w:fldChar w:fldCharType="begin"/>
      </w:r>
      <w:r>
        <w:rPr>
          <w:rFonts w:hint="eastAsia" w:ascii="宋体" w:hAnsi="宋体"/>
          <w:color w:val="000000"/>
          <w:sz w:val="24"/>
          <w:szCs w:val="24"/>
          <w:lang w:val="en-US" w:eastAsia="zh-CN"/>
        </w:rPr>
        <w:instrText xml:space="preserve"> HYPERLINK "https://mp.weixin.qq.com/s/d7D1GlfE3hmFmfN4n49_8A" </w:instrText>
      </w:r>
      <w:r>
        <w:rPr>
          <w:rFonts w:hint="eastAsia" w:ascii="宋体" w:hAnsi="宋体"/>
          <w:color w:val="000000"/>
          <w:sz w:val="24"/>
          <w:szCs w:val="24"/>
          <w:lang w:val="en-US" w:eastAsia="zh-CN"/>
        </w:rPr>
        <w:fldChar w:fldCharType="separate"/>
      </w:r>
      <w:r>
        <w:rPr>
          <w:rStyle w:val="6"/>
          <w:rFonts w:hint="eastAsia" w:ascii="宋体" w:hAnsi="宋体"/>
          <w:color w:val="000000"/>
          <w:sz w:val="24"/>
          <w:szCs w:val="24"/>
          <w:lang w:val="en-US" w:eastAsia="zh-CN"/>
        </w:rPr>
        <w:t>https://mp.weixin.qq.com/s/d7D1GlfE3hmFmfN4n49_8A</w:t>
      </w:r>
      <w:r>
        <w:rPr>
          <w:rFonts w:hint="eastAsia" w:ascii="宋体" w:hAnsi="宋体"/>
          <w:color w:val="000000"/>
          <w:sz w:val="24"/>
          <w:szCs w:val="24"/>
          <w:lang w:val="en-US" w:eastAsia="zh-CN"/>
        </w:rPr>
        <w:fldChar w:fldCharType="end"/>
      </w:r>
      <w:r>
        <w:rPr>
          <w:rFonts w:hint="eastAsia" w:ascii="宋体" w:hAnsi="宋体"/>
          <w:color w:val="000000"/>
          <w:sz w:val="24"/>
          <w:szCs w:val="24"/>
          <w:lang w:val="en-US" w:eastAsia="zh-CN"/>
        </w:rPr>
        <w:t xml:space="preserve"> </w:t>
      </w:r>
    </w:p>
    <w:p>
      <w:pPr>
        <w:spacing w:line="360" w:lineRule="auto"/>
        <w:ind w:firstLine="360" w:firstLineChars="150"/>
        <w:rPr>
          <w:rFonts w:hint="eastAsia" w:ascii="宋体" w:hAnsi="宋体"/>
          <w:color w:val="000000"/>
          <w:sz w:val="24"/>
          <w:szCs w:val="24"/>
          <w:lang w:val="en-US" w:eastAsia="zh-CN"/>
        </w:rPr>
      </w:pPr>
      <w:r>
        <w:rPr>
          <w:rFonts w:hint="eastAsia" w:ascii="宋体" w:hAnsi="宋体"/>
          <w:color w:val="000000"/>
          <w:sz w:val="24"/>
          <w:szCs w:val="24"/>
          <w:lang w:val="en-US" w:eastAsia="zh-CN"/>
        </w:rPr>
        <w:fldChar w:fldCharType="begin"/>
      </w:r>
      <w:r>
        <w:rPr>
          <w:rFonts w:hint="eastAsia" w:ascii="宋体" w:hAnsi="宋体"/>
          <w:color w:val="000000"/>
          <w:sz w:val="24"/>
          <w:szCs w:val="24"/>
          <w:lang w:val="en-US" w:eastAsia="zh-CN"/>
        </w:rPr>
        <w:instrText xml:space="preserve"> HYPERLINK "https://mp.weixin.qq.com/s/9G1UyUn49uy6fElDTJQ2oQ" </w:instrText>
      </w:r>
      <w:r>
        <w:rPr>
          <w:rFonts w:hint="eastAsia" w:ascii="宋体" w:hAnsi="宋体"/>
          <w:color w:val="000000"/>
          <w:sz w:val="24"/>
          <w:szCs w:val="24"/>
          <w:lang w:val="en-US" w:eastAsia="zh-CN"/>
        </w:rPr>
        <w:fldChar w:fldCharType="separate"/>
      </w:r>
      <w:r>
        <w:rPr>
          <w:rStyle w:val="6"/>
          <w:rFonts w:hint="eastAsia" w:ascii="宋体" w:hAnsi="宋体"/>
          <w:color w:val="000000"/>
          <w:sz w:val="24"/>
          <w:szCs w:val="24"/>
          <w:lang w:val="en-US" w:eastAsia="zh-CN"/>
        </w:rPr>
        <w:t>https://mp.weixin.qq.com/s/9G1UyUn49uy6fElDTJQ2oQ</w:t>
      </w:r>
      <w:r>
        <w:rPr>
          <w:rFonts w:hint="eastAsia" w:ascii="宋体" w:hAnsi="宋体"/>
          <w:color w:val="000000"/>
          <w:sz w:val="24"/>
          <w:szCs w:val="24"/>
          <w:lang w:val="en-US" w:eastAsia="zh-CN"/>
        </w:rPr>
        <w:fldChar w:fldCharType="end"/>
      </w:r>
      <w:r>
        <w:rPr>
          <w:rFonts w:hint="eastAsia" w:ascii="宋体" w:hAnsi="宋体"/>
          <w:color w:val="000000"/>
          <w:sz w:val="24"/>
          <w:szCs w:val="24"/>
          <w:lang w:val="en-US" w:eastAsia="zh-CN"/>
        </w:rPr>
        <w:t xml:space="preserve"> </w:t>
      </w: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rPr>
          <w:sz w:val="24"/>
          <w:szCs w:val="24"/>
        </w:rPr>
      </w:pPr>
      <w:r>
        <w:rPr>
          <w:rFonts w:hint="eastAsia"/>
          <w:sz w:val="24"/>
          <w:szCs w:val="24"/>
        </w:rPr>
        <w:t>附件2：</w:t>
      </w:r>
    </w:p>
    <w:p>
      <w:pPr>
        <w:jc w:val="center"/>
        <w:rPr>
          <w:rFonts w:ascii="宋体" w:hAnsi="宋体"/>
          <w:b/>
          <w:color w:val="000000"/>
          <w:sz w:val="24"/>
          <w:szCs w:val="24"/>
        </w:rPr>
      </w:pPr>
      <w:r>
        <w:rPr>
          <w:rFonts w:hint="eastAsia" w:ascii="宋体" w:hAnsi="宋体"/>
          <w:b/>
          <w:color w:val="000000"/>
          <w:sz w:val="24"/>
          <w:szCs w:val="24"/>
        </w:rPr>
        <w:t>福建省正荣公益基金会资助项目财务管理办法</w:t>
      </w:r>
    </w:p>
    <w:p>
      <w:pPr>
        <w:rPr>
          <w:rFonts w:ascii="宋体" w:hAnsi="宋体"/>
          <w:color w:val="000000"/>
          <w:sz w:val="24"/>
          <w:szCs w:val="24"/>
        </w:rPr>
      </w:pPr>
    </w:p>
    <w:p>
      <w:pPr>
        <w:spacing w:line="360" w:lineRule="auto"/>
        <w:ind w:firstLine="360" w:firstLineChars="150"/>
        <w:rPr>
          <w:rFonts w:ascii="宋体" w:hAnsi="宋体"/>
          <w:sz w:val="24"/>
          <w:szCs w:val="24"/>
        </w:rPr>
      </w:pPr>
      <w:r>
        <w:rPr>
          <w:rFonts w:hint="eastAsia" w:ascii="宋体" w:hAnsi="宋体"/>
          <w:color w:val="000000"/>
          <w:sz w:val="24"/>
          <w:szCs w:val="24"/>
        </w:rPr>
        <w:t>《福建省正荣公益基金会项目财务管理办法》依据《中华人民共和国会计法》和基金会相关财务标准编写，旨在规范项目资金运作及财务管理活动，提高会</w:t>
      </w:r>
      <w:r>
        <w:rPr>
          <w:rFonts w:hint="eastAsia" w:ascii="宋体" w:hAnsi="宋体"/>
          <w:sz w:val="24"/>
          <w:szCs w:val="24"/>
        </w:rPr>
        <w:t>计信息质量。</w:t>
      </w:r>
    </w:p>
    <w:p>
      <w:pPr>
        <w:spacing w:line="360" w:lineRule="auto"/>
        <w:ind w:firstLine="480" w:firstLineChars="200"/>
        <w:rPr>
          <w:rFonts w:ascii="宋体" w:hAnsi="宋体"/>
          <w:b/>
          <w:sz w:val="24"/>
          <w:szCs w:val="24"/>
        </w:rPr>
      </w:pPr>
      <w:r>
        <w:rPr>
          <w:rFonts w:hint="eastAsia" w:ascii="宋体" w:hAnsi="宋体"/>
          <w:sz w:val="24"/>
          <w:szCs w:val="24"/>
        </w:rPr>
        <w:t>不论项目合作伙伴处于何种注册方式，选用何种会计制度组织核算，作为福建省正荣公益基金会（以下简称正荣基金会）项目财务管理基本标准和底线要求，项目合作伙伴应该遵循本管理办法的规定</w:t>
      </w:r>
      <w:r>
        <w:rPr>
          <w:rFonts w:hint="eastAsia" w:ascii="宋体" w:hAnsi="宋体"/>
          <w:color w:val="0000FF"/>
          <w:sz w:val="24"/>
          <w:szCs w:val="24"/>
        </w:rPr>
        <w:t>。</w:t>
      </w:r>
    </w:p>
    <w:p>
      <w:pPr>
        <w:spacing w:line="360" w:lineRule="auto"/>
        <w:rPr>
          <w:rFonts w:ascii="宋体" w:hAnsi="宋体"/>
          <w:sz w:val="24"/>
          <w:szCs w:val="24"/>
        </w:rPr>
      </w:pPr>
      <w:r>
        <w:rPr>
          <w:rFonts w:hint="eastAsia" w:ascii="宋体" w:hAnsi="宋体"/>
          <w:b/>
          <w:sz w:val="24"/>
          <w:szCs w:val="24"/>
        </w:rPr>
        <w:t>一、项目收入及账目</w:t>
      </w:r>
    </w:p>
    <w:p>
      <w:pPr>
        <w:numPr>
          <w:ilvl w:val="0"/>
          <w:numId w:val="4"/>
        </w:numPr>
        <w:spacing w:line="360" w:lineRule="auto"/>
        <w:rPr>
          <w:rFonts w:ascii="宋体" w:hAnsi="宋体"/>
          <w:sz w:val="24"/>
          <w:szCs w:val="24"/>
        </w:rPr>
      </w:pPr>
      <w:r>
        <w:rPr>
          <w:rFonts w:hint="eastAsia" w:ascii="宋体" w:hAnsi="宋体"/>
          <w:color w:val="000000"/>
          <w:sz w:val="24"/>
          <w:szCs w:val="24"/>
        </w:rPr>
        <w:t>项目合作伙伴收到</w:t>
      </w:r>
      <w:r>
        <w:rPr>
          <w:rFonts w:hint="eastAsia" w:ascii="宋体" w:hAnsi="宋体"/>
          <w:sz w:val="24"/>
          <w:szCs w:val="24"/>
        </w:rPr>
        <w:t>拨款应开具正规票据，并寄回福建省正荣公益基金会，并按项目拨款金额及时入账。银行或财务手续费或项目管理费，应作为费用从项目支出中核销。</w:t>
      </w:r>
    </w:p>
    <w:p>
      <w:pPr>
        <w:pStyle w:val="9"/>
        <w:numPr>
          <w:ilvl w:val="0"/>
          <w:numId w:val="4"/>
        </w:numPr>
        <w:spacing w:line="360" w:lineRule="auto"/>
        <w:ind w:firstLineChars="0"/>
        <w:rPr>
          <w:rFonts w:ascii="宋体" w:hAnsi="宋体"/>
          <w:sz w:val="24"/>
          <w:szCs w:val="24"/>
        </w:rPr>
      </w:pPr>
      <w:r>
        <w:rPr>
          <w:rFonts w:hint="eastAsia" w:ascii="宋体" w:hAnsi="宋体"/>
          <w:sz w:val="24"/>
          <w:szCs w:val="24"/>
        </w:rPr>
        <w:t>项目拨款应根据资金来源，按资助者、分项目设置明细账。</w:t>
      </w:r>
    </w:p>
    <w:p>
      <w:pPr>
        <w:spacing w:line="360" w:lineRule="auto"/>
        <w:rPr>
          <w:rFonts w:ascii="宋体" w:hAnsi="宋体"/>
          <w:b/>
          <w:sz w:val="24"/>
          <w:szCs w:val="24"/>
        </w:rPr>
      </w:pPr>
      <w:r>
        <w:rPr>
          <w:rFonts w:hint="eastAsia" w:ascii="宋体" w:hAnsi="宋体"/>
          <w:b/>
          <w:sz w:val="24"/>
          <w:szCs w:val="24"/>
        </w:rPr>
        <w:t>二、项目支出及账目</w:t>
      </w:r>
    </w:p>
    <w:p>
      <w:pPr>
        <w:numPr>
          <w:ilvl w:val="0"/>
          <w:numId w:val="4"/>
        </w:numPr>
        <w:spacing w:line="360" w:lineRule="auto"/>
        <w:rPr>
          <w:rFonts w:ascii="宋体" w:hAnsi="宋体"/>
          <w:sz w:val="24"/>
          <w:szCs w:val="24"/>
        </w:rPr>
      </w:pPr>
      <w:r>
        <w:rPr>
          <w:rFonts w:hint="eastAsia" w:ascii="宋体" w:hAnsi="宋体"/>
          <w:sz w:val="24"/>
          <w:szCs w:val="24"/>
        </w:rPr>
        <w:t>项目支出明细账设置应与项目预算框架和科目一致，保证实际支出与预算相对应，核算结果要能反映项目预算完成情况，满足编制项目财务报告的需要。</w:t>
      </w:r>
    </w:p>
    <w:p>
      <w:pPr>
        <w:numPr>
          <w:ilvl w:val="0"/>
          <w:numId w:val="4"/>
        </w:numPr>
        <w:spacing w:line="360" w:lineRule="auto"/>
        <w:rPr>
          <w:rFonts w:ascii="宋体" w:hAnsi="宋体"/>
          <w:sz w:val="24"/>
          <w:szCs w:val="24"/>
        </w:rPr>
      </w:pPr>
      <w:r>
        <w:rPr>
          <w:rFonts w:hint="eastAsia" w:ascii="宋体" w:hAnsi="宋体"/>
          <w:sz w:val="24"/>
          <w:szCs w:val="24"/>
        </w:rPr>
        <w:t>项目支出应分项目，分活动，分费用设置明细账，要能够清楚反映每一笔明细支出。</w:t>
      </w:r>
    </w:p>
    <w:p>
      <w:pPr>
        <w:numPr>
          <w:ilvl w:val="0"/>
          <w:numId w:val="4"/>
        </w:numPr>
        <w:spacing w:line="360" w:lineRule="auto"/>
        <w:rPr>
          <w:rFonts w:ascii="宋体" w:hAnsi="宋体"/>
          <w:b/>
          <w:sz w:val="24"/>
          <w:szCs w:val="24"/>
        </w:rPr>
      </w:pPr>
      <w:r>
        <w:rPr>
          <w:rFonts w:hint="eastAsia" w:ascii="宋体" w:hAnsi="宋体"/>
          <w:sz w:val="24"/>
          <w:szCs w:val="24"/>
        </w:rPr>
        <w:t>如果一个合作伙伴同一时期负责一个以上项目，每个项目须有独立的明细账。</w:t>
      </w:r>
    </w:p>
    <w:p>
      <w:pPr>
        <w:spacing w:line="360" w:lineRule="auto"/>
        <w:rPr>
          <w:rFonts w:ascii="宋体" w:hAnsi="宋体"/>
          <w:b/>
          <w:sz w:val="24"/>
          <w:szCs w:val="24"/>
        </w:rPr>
      </w:pPr>
      <w:r>
        <w:rPr>
          <w:rFonts w:hint="eastAsia" w:ascii="宋体" w:hAnsi="宋体"/>
          <w:b/>
          <w:sz w:val="24"/>
          <w:szCs w:val="24"/>
        </w:rPr>
        <w:t>三、费用报销要求：</w:t>
      </w:r>
    </w:p>
    <w:p>
      <w:pPr>
        <w:spacing w:line="360" w:lineRule="auto"/>
        <w:ind w:left="315" w:leftChars="150"/>
        <w:rPr>
          <w:rFonts w:ascii="宋体" w:hAnsi="宋体"/>
          <w:color w:val="000000"/>
          <w:sz w:val="24"/>
          <w:szCs w:val="24"/>
          <w:highlight w:val="none"/>
        </w:rPr>
      </w:pPr>
      <w:r>
        <w:rPr>
          <w:rFonts w:hint="eastAsia" w:ascii="宋体" w:hAnsi="宋体"/>
          <w:sz w:val="24"/>
          <w:szCs w:val="24"/>
          <w:highlight w:val="none"/>
        </w:rPr>
        <w:t>所有项目支出应取得有效票据，经财务复核，项目负责人审批才能报销，</w:t>
      </w:r>
      <w:r>
        <w:rPr>
          <w:rFonts w:hint="eastAsia" w:ascii="宋体" w:hAnsi="宋体"/>
          <w:color w:val="000000"/>
          <w:sz w:val="24"/>
          <w:szCs w:val="24"/>
          <w:highlight w:val="none"/>
        </w:rPr>
        <w:t>费用报销应严格执行项目预算内容、标准和用途，采用实报实销、实事求是的原则。</w:t>
      </w:r>
    </w:p>
    <w:p>
      <w:pPr>
        <w:numPr>
          <w:ilvl w:val="0"/>
          <w:numId w:val="5"/>
        </w:numPr>
        <w:spacing w:line="360" w:lineRule="auto"/>
        <w:rPr>
          <w:rFonts w:ascii="宋体" w:hAnsi="宋体"/>
          <w:sz w:val="24"/>
          <w:szCs w:val="24"/>
          <w:highlight w:val="none"/>
        </w:rPr>
      </w:pPr>
      <w:r>
        <w:rPr>
          <w:rFonts w:hint="eastAsia" w:ascii="宋体" w:hAnsi="宋体"/>
          <w:sz w:val="24"/>
          <w:szCs w:val="24"/>
          <w:highlight w:val="none"/>
        </w:rPr>
        <w:t>合作伙伴应该按照批准的预算使用资金。当预算需调整的情况发生时，合作伙伴应事前与正荣公益基金会的相关项目主管协商，并提出书面申请，获得正荣基金会负责项目主管的书面批准后才能变更资金用途。正荣基金会有权拒绝拨付或收回未经正式批准的用于项目活动变更的资金。</w:t>
      </w:r>
    </w:p>
    <w:p>
      <w:pPr>
        <w:numPr>
          <w:ilvl w:val="0"/>
          <w:numId w:val="5"/>
        </w:numPr>
        <w:spacing w:line="360" w:lineRule="auto"/>
        <w:rPr>
          <w:rFonts w:ascii="宋体" w:hAnsi="宋体"/>
          <w:b/>
          <w:sz w:val="24"/>
          <w:szCs w:val="24"/>
          <w:highlight w:val="none"/>
        </w:rPr>
      </w:pPr>
      <w:r>
        <w:rPr>
          <w:rFonts w:hint="eastAsia" w:ascii="宋体" w:hAnsi="宋体"/>
          <w:sz w:val="24"/>
          <w:szCs w:val="24"/>
          <w:highlight w:val="none"/>
        </w:rPr>
        <w:t>购买物资或价值超过</w:t>
      </w:r>
      <w:r>
        <w:rPr>
          <w:rFonts w:ascii="宋体" w:hAnsi="宋体"/>
          <w:color w:val="000000"/>
          <w:sz w:val="24"/>
          <w:szCs w:val="24"/>
          <w:highlight w:val="none"/>
        </w:rPr>
        <w:t>2,000</w:t>
      </w:r>
      <w:r>
        <w:rPr>
          <w:rFonts w:hint="eastAsia" w:ascii="宋体" w:hAnsi="宋体"/>
          <w:color w:val="000000"/>
          <w:sz w:val="24"/>
          <w:szCs w:val="24"/>
          <w:highlight w:val="none"/>
        </w:rPr>
        <w:t>元</w:t>
      </w:r>
      <w:r>
        <w:rPr>
          <w:rFonts w:hint="eastAsia" w:ascii="宋体" w:hAnsi="宋体"/>
          <w:sz w:val="24"/>
          <w:szCs w:val="24"/>
          <w:highlight w:val="none"/>
        </w:rPr>
        <w:t>的单件耐用品，或成批购买低值耐用品而总金额超过</w:t>
      </w:r>
      <w:r>
        <w:rPr>
          <w:rFonts w:ascii="宋体" w:hAnsi="宋体"/>
          <w:sz w:val="24"/>
          <w:szCs w:val="24"/>
          <w:highlight w:val="none"/>
        </w:rPr>
        <w:t>2,000</w:t>
      </w:r>
      <w:r>
        <w:rPr>
          <w:rFonts w:hint="eastAsia" w:ascii="宋体" w:hAnsi="宋体"/>
          <w:sz w:val="24"/>
          <w:szCs w:val="24"/>
          <w:highlight w:val="none"/>
        </w:rPr>
        <w:t>元时，需要至少取得三家供货商的书面报价或报价记录（包括供货商名称、地点、电话、品名、型号、规格、等级、单价、合计金额等资料），在综合权衡质量、性能、价格、售后服务等因素后，在预算资金范围内决定购买，并保存供应商报价资料。</w:t>
      </w:r>
    </w:p>
    <w:p>
      <w:pPr>
        <w:numPr>
          <w:ilvl w:val="0"/>
          <w:numId w:val="5"/>
        </w:numPr>
        <w:spacing w:line="360" w:lineRule="auto"/>
        <w:rPr>
          <w:rFonts w:ascii="宋体" w:hAnsi="宋体"/>
          <w:b/>
          <w:sz w:val="24"/>
          <w:szCs w:val="24"/>
          <w:highlight w:val="none"/>
        </w:rPr>
      </w:pPr>
      <w:r>
        <w:rPr>
          <w:rFonts w:hint="eastAsia" w:ascii="宋体" w:hAnsi="宋体"/>
          <w:sz w:val="24"/>
          <w:szCs w:val="24"/>
          <w:highlight w:val="none"/>
        </w:rPr>
        <w:t>发放现金、物资应编制相应的花名册注明领受人的姓名、身份证号码、单位、职务、领受物品的名称、数量并由领受人本人签字。</w:t>
      </w:r>
    </w:p>
    <w:p>
      <w:pPr>
        <w:spacing w:line="360" w:lineRule="auto"/>
        <w:rPr>
          <w:rFonts w:ascii="宋体" w:hAnsi="宋体"/>
          <w:b/>
          <w:sz w:val="24"/>
          <w:szCs w:val="24"/>
          <w:highlight w:val="none"/>
        </w:rPr>
      </w:pPr>
      <w:r>
        <w:rPr>
          <w:rFonts w:hint="eastAsia" w:ascii="宋体" w:hAnsi="宋体"/>
          <w:b/>
          <w:sz w:val="24"/>
          <w:szCs w:val="24"/>
          <w:highlight w:val="none"/>
        </w:rPr>
        <w:t>四、费用报销票据要求</w:t>
      </w:r>
    </w:p>
    <w:p>
      <w:pPr>
        <w:numPr>
          <w:ilvl w:val="0"/>
          <w:numId w:val="6"/>
        </w:numPr>
        <w:spacing w:line="360" w:lineRule="auto"/>
        <w:rPr>
          <w:rFonts w:ascii="宋体" w:hAnsi="宋体"/>
          <w:color w:val="000000"/>
          <w:sz w:val="24"/>
          <w:szCs w:val="24"/>
          <w:highlight w:val="none"/>
        </w:rPr>
      </w:pPr>
      <w:r>
        <w:rPr>
          <w:rFonts w:hint="eastAsia" w:ascii="宋体" w:hAnsi="宋体"/>
          <w:color w:val="000000"/>
          <w:sz w:val="24"/>
          <w:szCs w:val="24"/>
          <w:highlight w:val="none"/>
        </w:rPr>
        <w:t>项目发生支出必须取得有效的原始单据。报销下列费用除发票外，还需要明细资料：</w:t>
      </w:r>
    </w:p>
    <w:p>
      <w:pPr>
        <w:numPr>
          <w:ilvl w:val="0"/>
          <w:numId w:val="7"/>
        </w:numPr>
        <w:spacing w:line="360" w:lineRule="auto"/>
        <w:ind w:left="777" w:hanging="357"/>
        <w:rPr>
          <w:rFonts w:ascii="宋体" w:hAnsi="宋体"/>
          <w:sz w:val="24"/>
          <w:szCs w:val="24"/>
          <w:highlight w:val="none"/>
        </w:rPr>
      </w:pPr>
      <w:r>
        <w:rPr>
          <w:rFonts w:hint="eastAsia" w:ascii="宋体" w:hAnsi="宋体"/>
          <w:sz w:val="24"/>
          <w:szCs w:val="24"/>
          <w:highlight w:val="none"/>
        </w:rPr>
        <w:t>在酒店举办会议或培训报销食宿费、会议室租金：需要在发票后附酒店提供的结算明细清单；</w:t>
      </w:r>
    </w:p>
    <w:p>
      <w:pPr>
        <w:numPr>
          <w:ilvl w:val="0"/>
          <w:numId w:val="7"/>
        </w:numPr>
        <w:spacing w:line="360" w:lineRule="auto"/>
        <w:ind w:left="777" w:hanging="357"/>
        <w:rPr>
          <w:rFonts w:ascii="宋体" w:hAnsi="宋体"/>
          <w:sz w:val="24"/>
          <w:szCs w:val="24"/>
          <w:highlight w:val="none"/>
        </w:rPr>
      </w:pPr>
      <w:r>
        <w:rPr>
          <w:rFonts w:hint="eastAsia" w:ascii="宋体" w:hAnsi="宋体"/>
          <w:sz w:val="24"/>
          <w:szCs w:val="24"/>
          <w:highlight w:val="none"/>
        </w:rPr>
        <w:t>报销餐费：需要说明用餐日期、用餐人、报销理由，但出差期间的包干餐费除外。</w:t>
      </w:r>
    </w:p>
    <w:p>
      <w:pPr>
        <w:numPr>
          <w:ilvl w:val="0"/>
          <w:numId w:val="7"/>
        </w:numPr>
        <w:spacing w:line="360" w:lineRule="auto"/>
        <w:ind w:left="777" w:hanging="357"/>
        <w:rPr>
          <w:rFonts w:ascii="宋体" w:hAnsi="宋体"/>
          <w:color w:val="000000"/>
          <w:sz w:val="24"/>
          <w:szCs w:val="24"/>
          <w:highlight w:val="none"/>
        </w:rPr>
      </w:pPr>
      <w:r>
        <w:rPr>
          <w:rFonts w:hint="eastAsia" w:ascii="宋体" w:hAnsi="宋体"/>
          <w:sz w:val="24"/>
          <w:szCs w:val="24"/>
          <w:highlight w:val="none"/>
        </w:rPr>
        <w:t>访点或考察报销租车费：需要在发票后注明用车期间、用车人、目的地、用车目的、租车单价等信息；</w:t>
      </w:r>
    </w:p>
    <w:p>
      <w:pPr>
        <w:numPr>
          <w:ilvl w:val="0"/>
          <w:numId w:val="7"/>
        </w:numPr>
        <w:spacing w:line="360" w:lineRule="auto"/>
        <w:ind w:left="777" w:hanging="357"/>
        <w:rPr>
          <w:rFonts w:ascii="宋体" w:hAnsi="宋体"/>
          <w:sz w:val="24"/>
          <w:szCs w:val="24"/>
          <w:highlight w:val="none"/>
        </w:rPr>
      </w:pPr>
      <w:r>
        <w:rPr>
          <w:rFonts w:hint="eastAsia" w:ascii="宋体" w:hAnsi="宋体"/>
          <w:color w:val="000000"/>
          <w:sz w:val="24"/>
          <w:szCs w:val="24"/>
          <w:highlight w:val="none"/>
        </w:rPr>
        <w:t>回程交通费票据必须由使用人寄回合作伙伴财务，作为原始单据报销入帐。</w:t>
      </w:r>
    </w:p>
    <w:p>
      <w:pPr>
        <w:numPr>
          <w:ilvl w:val="0"/>
          <w:numId w:val="7"/>
        </w:numPr>
        <w:spacing w:line="360" w:lineRule="auto"/>
        <w:ind w:left="777" w:hanging="357"/>
        <w:rPr>
          <w:rFonts w:ascii="宋体" w:hAnsi="宋体"/>
          <w:sz w:val="24"/>
          <w:szCs w:val="24"/>
          <w:highlight w:val="none"/>
        </w:rPr>
      </w:pPr>
      <w:r>
        <w:rPr>
          <w:rFonts w:hint="eastAsia" w:ascii="宋体" w:hAnsi="宋体"/>
          <w:sz w:val="24"/>
          <w:szCs w:val="24"/>
          <w:highlight w:val="none"/>
        </w:rPr>
        <w:t>市内交通报销出租车费：需要在车票上注明用车日期、用车人、用车目的、目的地、出租车费金额等信息。每次最高不超过</w:t>
      </w:r>
      <w:r>
        <w:rPr>
          <w:rFonts w:ascii="宋体" w:hAnsi="宋体"/>
          <w:sz w:val="24"/>
          <w:szCs w:val="24"/>
          <w:highlight w:val="none"/>
        </w:rPr>
        <w:t>100</w:t>
      </w:r>
      <w:r>
        <w:rPr>
          <w:rFonts w:hint="eastAsia" w:ascii="宋体" w:hAnsi="宋体"/>
          <w:sz w:val="24"/>
          <w:szCs w:val="24"/>
          <w:highlight w:val="none"/>
        </w:rPr>
        <w:t>元，长途应使用公共交通工具；</w:t>
      </w:r>
    </w:p>
    <w:p>
      <w:pPr>
        <w:numPr>
          <w:ilvl w:val="0"/>
          <w:numId w:val="7"/>
        </w:numPr>
        <w:spacing w:line="360" w:lineRule="auto"/>
        <w:ind w:left="777" w:hanging="357"/>
        <w:rPr>
          <w:rFonts w:ascii="宋体" w:hAnsi="宋体"/>
          <w:sz w:val="24"/>
          <w:szCs w:val="24"/>
          <w:highlight w:val="none"/>
        </w:rPr>
      </w:pPr>
      <w:r>
        <w:rPr>
          <w:rFonts w:hint="eastAsia" w:ascii="宋体" w:hAnsi="宋体"/>
          <w:sz w:val="24"/>
          <w:szCs w:val="24"/>
          <w:highlight w:val="none"/>
        </w:rPr>
        <w:t>报销必要的办公用品或文具：需要在发票后附超市小票或明细清单；</w:t>
      </w:r>
    </w:p>
    <w:p>
      <w:pPr>
        <w:numPr>
          <w:ilvl w:val="0"/>
          <w:numId w:val="7"/>
        </w:numPr>
        <w:spacing w:line="360" w:lineRule="auto"/>
        <w:ind w:left="777" w:hanging="357"/>
        <w:rPr>
          <w:rFonts w:ascii="宋体" w:hAnsi="宋体"/>
          <w:sz w:val="24"/>
          <w:szCs w:val="24"/>
          <w:highlight w:val="none"/>
        </w:rPr>
      </w:pPr>
      <w:r>
        <w:rPr>
          <w:rFonts w:hint="eastAsia" w:ascii="宋体" w:hAnsi="宋体"/>
          <w:sz w:val="24"/>
          <w:szCs w:val="24"/>
          <w:highlight w:val="none"/>
        </w:rPr>
        <w:t>报销打印费或复印费：需要在发票后附打印或复印资料的名称、数量、单价等信息；</w:t>
      </w:r>
    </w:p>
    <w:p>
      <w:pPr>
        <w:numPr>
          <w:ilvl w:val="0"/>
          <w:numId w:val="7"/>
        </w:numPr>
        <w:spacing w:line="360" w:lineRule="auto"/>
        <w:ind w:left="777" w:hanging="357"/>
        <w:rPr>
          <w:rFonts w:ascii="宋体" w:hAnsi="宋体"/>
          <w:sz w:val="24"/>
          <w:szCs w:val="24"/>
          <w:highlight w:val="none"/>
        </w:rPr>
      </w:pPr>
      <w:r>
        <w:rPr>
          <w:rFonts w:hint="eastAsia" w:ascii="宋体" w:hAnsi="宋体"/>
          <w:color w:val="000000"/>
          <w:sz w:val="24"/>
          <w:szCs w:val="24"/>
          <w:highlight w:val="none"/>
        </w:rPr>
        <w:t>支付基建工程款，购买大宗赈灾物资，需要附上支持此项付款的相关文件、审批资料、合同或协议书等。</w:t>
      </w:r>
    </w:p>
    <w:p>
      <w:pPr>
        <w:numPr>
          <w:ilvl w:val="0"/>
          <w:numId w:val="6"/>
        </w:numPr>
        <w:spacing w:line="360" w:lineRule="auto"/>
        <w:rPr>
          <w:rFonts w:ascii="宋体" w:hAnsi="宋体"/>
          <w:color w:val="000000"/>
          <w:sz w:val="24"/>
          <w:szCs w:val="24"/>
        </w:rPr>
      </w:pPr>
      <w:r>
        <w:rPr>
          <w:rFonts w:hint="eastAsia" w:ascii="宋体" w:hAnsi="宋体"/>
          <w:color w:val="000000"/>
          <w:sz w:val="24"/>
          <w:szCs w:val="24"/>
        </w:rPr>
        <w:t>基于诚信和会计责任，购买物品或服务应该尽可能取得国家税务部门印发的正规发票，并由经办人和证明人签字，项目负责人审批。</w:t>
      </w:r>
    </w:p>
    <w:p>
      <w:pPr>
        <w:numPr>
          <w:ilvl w:val="0"/>
          <w:numId w:val="6"/>
        </w:numPr>
        <w:spacing w:line="360" w:lineRule="auto"/>
        <w:rPr>
          <w:rFonts w:ascii="宋体" w:hAnsi="宋体"/>
          <w:b/>
          <w:sz w:val="24"/>
          <w:szCs w:val="24"/>
        </w:rPr>
      </w:pPr>
      <w:r>
        <w:rPr>
          <w:rFonts w:hint="eastAsia" w:ascii="宋体" w:hAnsi="宋体"/>
          <w:color w:val="000000"/>
          <w:sz w:val="24"/>
          <w:szCs w:val="24"/>
        </w:rPr>
        <w:t>使用项目资金支付人员工资、劳务费、补贴，赈灾项目发放现金或物资需要自己制作单据的，单据须清楚反映支付的内容、标准、数量、金额，经手、签收、审批手续齐全，同时，应符合项目预算的标准。</w:t>
      </w:r>
    </w:p>
    <w:p>
      <w:pPr>
        <w:numPr>
          <w:ilvl w:val="0"/>
          <w:numId w:val="6"/>
        </w:numPr>
        <w:spacing w:line="360" w:lineRule="auto"/>
        <w:rPr>
          <w:rFonts w:ascii="宋体" w:hAnsi="宋体"/>
          <w:b/>
          <w:sz w:val="24"/>
          <w:szCs w:val="24"/>
        </w:rPr>
      </w:pPr>
      <w:r>
        <w:rPr>
          <w:rFonts w:ascii="宋体" w:hAnsi="宋体"/>
          <w:color w:val="000000"/>
          <w:sz w:val="24"/>
          <w:szCs w:val="24"/>
        </w:rPr>
        <w:t>“</w:t>
      </w:r>
      <w:r>
        <w:rPr>
          <w:rFonts w:hint="eastAsia" w:ascii="宋体" w:hAnsi="宋体"/>
          <w:color w:val="000000"/>
          <w:sz w:val="24"/>
          <w:szCs w:val="24"/>
        </w:rPr>
        <w:t>财务管理费</w:t>
      </w:r>
      <w:r>
        <w:rPr>
          <w:rFonts w:ascii="宋体" w:hAnsi="宋体"/>
          <w:color w:val="000000"/>
          <w:sz w:val="24"/>
          <w:szCs w:val="24"/>
        </w:rPr>
        <w:t>”</w:t>
      </w:r>
      <w:r>
        <w:rPr>
          <w:rFonts w:hint="eastAsia" w:ascii="宋体" w:hAnsi="宋体"/>
          <w:color w:val="000000"/>
          <w:sz w:val="24"/>
          <w:szCs w:val="24"/>
        </w:rPr>
        <w:t>以实际拨付的项目资金总额为基数，按双方同意的比例计算，而不是按项目批准预算的管理费总额提取的。项目预算中规定了管理费上限的，管理费不得超过双方同意的上限。</w:t>
      </w:r>
    </w:p>
    <w:p>
      <w:pPr>
        <w:numPr>
          <w:ilvl w:val="0"/>
          <w:numId w:val="6"/>
        </w:numPr>
        <w:spacing w:line="360" w:lineRule="auto"/>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本项目费用实报实销，每季度沙龙活动结束后，乙方需向甲方提交该季度活动策划书、物资发票、财务核算表、志愿者补贴签收表、相关活动的记录和图片等资料。</w:t>
      </w:r>
    </w:p>
    <w:p>
      <w:pPr>
        <w:spacing w:line="360" w:lineRule="auto"/>
        <w:rPr>
          <w:rFonts w:ascii="宋体" w:hAnsi="宋体"/>
          <w:b/>
          <w:sz w:val="24"/>
          <w:szCs w:val="24"/>
        </w:rPr>
      </w:pPr>
      <w:r>
        <w:rPr>
          <w:rFonts w:hint="eastAsia" w:ascii="宋体" w:hAnsi="宋体"/>
          <w:b/>
          <w:sz w:val="24"/>
          <w:szCs w:val="24"/>
        </w:rPr>
        <w:t>五、项目财务报告</w:t>
      </w:r>
    </w:p>
    <w:p>
      <w:pPr>
        <w:pStyle w:val="9"/>
        <w:numPr>
          <w:ilvl w:val="0"/>
          <w:numId w:val="8"/>
        </w:numPr>
        <w:spacing w:line="360" w:lineRule="auto"/>
        <w:ind w:firstLineChars="0"/>
        <w:rPr>
          <w:rFonts w:ascii="宋体" w:hAnsi="宋体"/>
          <w:b/>
          <w:color w:val="000000"/>
          <w:sz w:val="24"/>
          <w:szCs w:val="24"/>
        </w:rPr>
      </w:pPr>
      <w:r>
        <w:rPr>
          <w:rFonts w:hint="eastAsia" w:ascii="宋体" w:hAnsi="宋体"/>
          <w:color w:val="000000"/>
          <w:sz w:val="24"/>
          <w:szCs w:val="24"/>
        </w:rPr>
        <w:t>合作伙伴应根据项目协议书中约定的时间向正荣基金会提交项目财务报告。</w:t>
      </w:r>
    </w:p>
    <w:p>
      <w:pPr>
        <w:pStyle w:val="9"/>
        <w:numPr>
          <w:ilvl w:val="0"/>
          <w:numId w:val="8"/>
        </w:numPr>
        <w:spacing w:line="360" w:lineRule="auto"/>
        <w:ind w:firstLineChars="0"/>
        <w:rPr>
          <w:rFonts w:ascii="宋体" w:hAnsi="宋体"/>
          <w:b/>
          <w:color w:val="000000"/>
          <w:sz w:val="24"/>
          <w:szCs w:val="24"/>
        </w:rPr>
      </w:pPr>
      <w:r>
        <w:rPr>
          <w:rFonts w:hint="eastAsia" w:ascii="宋体" w:hAnsi="宋体"/>
          <w:sz w:val="24"/>
          <w:szCs w:val="24"/>
        </w:rPr>
        <w:t>项目财务报告应按项目预算框架和科目编制，保证项目实际支出与预算相对应，有效反映项目预算执行情况，并保证报告内容真实、完整，数字准确无误。</w:t>
      </w:r>
    </w:p>
    <w:p>
      <w:pPr>
        <w:pStyle w:val="9"/>
        <w:numPr>
          <w:ilvl w:val="0"/>
          <w:numId w:val="8"/>
        </w:numPr>
        <w:spacing w:line="360" w:lineRule="auto"/>
        <w:ind w:firstLineChars="0"/>
        <w:rPr>
          <w:rFonts w:ascii="宋体" w:hAnsi="宋体"/>
          <w:b/>
          <w:color w:val="000000"/>
          <w:sz w:val="24"/>
          <w:szCs w:val="24"/>
        </w:rPr>
      </w:pPr>
      <w:r>
        <w:rPr>
          <w:rFonts w:hint="eastAsia" w:ascii="宋体" w:hAnsi="宋体"/>
          <w:sz w:val="24"/>
          <w:szCs w:val="24"/>
        </w:rPr>
        <w:t>项目财务报告主要包括四部份内容：</w:t>
      </w:r>
    </w:p>
    <w:p>
      <w:pPr>
        <w:numPr>
          <w:ilvl w:val="1"/>
          <w:numId w:val="9"/>
        </w:numPr>
        <w:spacing w:line="360" w:lineRule="auto"/>
        <w:rPr>
          <w:rFonts w:ascii="宋体" w:hAnsi="宋体"/>
          <w:sz w:val="24"/>
          <w:szCs w:val="24"/>
        </w:rPr>
      </w:pPr>
      <w:r>
        <w:rPr>
          <w:rFonts w:hint="eastAsia" w:ascii="宋体" w:hAnsi="宋体"/>
          <w:sz w:val="24"/>
          <w:szCs w:val="24"/>
        </w:rPr>
        <w:t>简述项目财务管理及控制情况；</w:t>
      </w:r>
    </w:p>
    <w:p>
      <w:pPr>
        <w:numPr>
          <w:ilvl w:val="1"/>
          <w:numId w:val="9"/>
        </w:numPr>
        <w:spacing w:line="360" w:lineRule="auto"/>
        <w:rPr>
          <w:rFonts w:ascii="宋体" w:hAnsi="宋体"/>
          <w:sz w:val="24"/>
          <w:szCs w:val="24"/>
        </w:rPr>
      </w:pPr>
      <w:r>
        <w:rPr>
          <w:rFonts w:hint="eastAsia" w:ascii="宋体" w:hAnsi="宋体"/>
          <w:sz w:val="24"/>
          <w:szCs w:val="24"/>
        </w:rPr>
        <w:t>项目收款明细；</w:t>
      </w:r>
    </w:p>
    <w:p>
      <w:pPr>
        <w:numPr>
          <w:ilvl w:val="1"/>
          <w:numId w:val="9"/>
        </w:numPr>
        <w:spacing w:line="360" w:lineRule="auto"/>
        <w:rPr>
          <w:rFonts w:ascii="宋体" w:hAnsi="宋体"/>
          <w:sz w:val="24"/>
          <w:szCs w:val="24"/>
        </w:rPr>
      </w:pPr>
      <w:r>
        <w:rPr>
          <w:rFonts w:hint="eastAsia" w:ascii="宋体" w:hAnsi="宋体"/>
          <w:sz w:val="24"/>
          <w:szCs w:val="24"/>
        </w:rPr>
        <w:t>项目支出明细；</w:t>
      </w:r>
    </w:p>
    <w:p>
      <w:pPr>
        <w:spacing w:line="360" w:lineRule="auto"/>
        <w:ind w:firstLine="480" w:firstLineChars="200"/>
        <w:rPr>
          <w:rFonts w:ascii="宋体" w:hAnsi="宋体"/>
          <w:b/>
          <w:color w:val="000000"/>
          <w:sz w:val="24"/>
          <w:szCs w:val="24"/>
        </w:rPr>
      </w:pPr>
      <w:r>
        <w:rPr>
          <w:rFonts w:ascii="宋体" w:hAnsi="宋体"/>
          <w:sz w:val="24"/>
          <w:szCs w:val="24"/>
        </w:rPr>
        <w:t>d</w:t>
      </w:r>
      <w:r>
        <w:rPr>
          <w:rFonts w:hint="eastAsia" w:ascii="宋体" w:hAnsi="宋体"/>
          <w:sz w:val="24"/>
          <w:szCs w:val="24"/>
        </w:rPr>
        <w:t>、超支或节余资金分析及重要会计事项说明。</w:t>
      </w:r>
    </w:p>
    <w:p>
      <w:pPr>
        <w:spacing w:line="360" w:lineRule="auto"/>
        <w:rPr>
          <w:rFonts w:ascii="宋体" w:hAnsi="宋体"/>
          <w:b/>
          <w:sz w:val="24"/>
          <w:szCs w:val="24"/>
        </w:rPr>
      </w:pPr>
    </w:p>
    <w:p>
      <w:pPr>
        <w:spacing w:line="360" w:lineRule="auto"/>
        <w:rPr>
          <w:rFonts w:ascii="宋体" w:hAnsi="宋体"/>
          <w:b/>
          <w:sz w:val="24"/>
          <w:szCs w:val="24"/>
        </w:rPr>
      </w:pPr>
      <w:r>
        <w:rPr>
          <w:rFonts w:hint="eastAsia" w:ascii="宋体" w:hAnsi="宋体"/>
          <w:b/>
          <w:sz w:val="24"/>
          <w:szCs w:val="24"/>
        </w:rPr>
        <w:t>六、财务资料保存</w:t>
      </w:r>
    </w:p>
    <w:p>
      <w:pPr>
        <w:spacing w:line="360" w:lineRule="auto"/>
        <w:ind w:firstLine="475" w:firstLineChars="198"/>
        <w:rPr>
          <w:rFonts w:ascii="宋体" w:hAnsi="宋体"/>
          <w:b/>
          <w:sz w:val="24"/>
          <w:szCs w:val="24"/>
        </w:rPr>
      </w:pPr>
      <w:r>
        <w:rPr>
          <w:rFonts w:hint="eastAsia" w:ascii="宋体" w:hAnsi="宋体"/>
          <w:sz w:val="24"/>
          <w:szCs w:val="24"/>
        </w:rPr>
        <w:t>项目财务资料包括：原始票据（结算清单、明细单、小票等）、记账凭证、会计账簿、财务报表、项目活动变更批复、不可预见费使用批复，以及与项目支出直接相关的合同、协议、记录等资料，应及时整理、装订和保存，并参照国家《会计档案管理规定》处置。</w:t>
      </w:r>
    </w:p>
    <w:p>
      <w:pPr>
        <w:spacing w:line="360" w:lineRule="auto"/>
        <w:rPr>
          <w:rFonts w:ascii="宋体" w:hAnsi="宋体"/>
          <w:b/>
          <w:sz w:val="24"/>
          <w:szCs w:val="24"/>
        </w:rPr>
      </w:pPr>
      <w:r>
        <w:rPr>
          <w:rFonts w:hint="eastAsia" w:ascii="宋体" w:hAnsi="宋体"/>
          <w:b/>
          <w:sz w:val="24"/>
          <w:szCs w:val="24"/>
        </w:rPr>
        <w:t>七、审计与余款</w:t>
      </w:r>
    </w:p>
    <w:p>
      <w:pPr>
        <w:spacing w:line="360" w:lineRule="auto"/>
        <w:ind w:left="360" w:hanging="360" w:hangingChars="150"/>
        <w:rPr>
          <w:rFonts w:ascii="宋体" w:hAnsi="宋体"/>
          <w:b/>
          <w:color w:val="000000"/>
          <w:sz w:val="24"/>
          <w:szCs w:val="24"/>
        </w:rPr>
      </w:pPr>
      <w:r>
        <w:rPr>
          <w:rFonts w:hint="eastAsia" w:ascii="宋体" w:hAnsi="宋体"/>
          <w:sz w:val="24"/>
          <w:szCs w:val="24"/>
        </w:rPr>
        <w:t>1. 对于超过人民币五万元的资助，正荣基金会将视情况在项目实施期间或结束后，安排本机构人员，或聘请外部审计机构对项目财务进行独立检查或审计，合作伙伴有责任提供相关资料和必要的工作便利，积极协助配合。</w:t>
      </w:r>
    </w:p>
    <w:p>
      <w:pPr>
        <w:spacing w:line="360" w:lineRule="auto"/>
        <w:ind w:left="361" w:hanging="361" w:hangingChars="150"/>
        <w:rPr>
          <w:rFonts w:ascii="宋体" w:hAnsi="宋体"/>
          <w:b/>
          <w:color w:val="000000"/>
          <w:sz w:val="24"/>
          <w:szCs w:val="24"/>
          <w:highlight w:val="yellow"/>
        </w:rPr>
      </w:pPr>
      <w:r>
        <w:rPr>
          <w:rFonts w:hint="eastAsia" w:ascii="宋体" w:hAnsi="宋体"/>
          <w:b/>
          <w:color w:val="000000"/>
          <w:sz w:val="24"/>
          <w:szCs w:val="24"/>
        </w:rPr>
        <w:t xml:space="preserve">2. </w:t>
      </w:r>
      <w:r>
        <w:rPr>
          <w:rFonts w:hint="eastAsia" w:ascii="宋体" w:hAnsi="宋体"/>
          <w:sz w:val="24"/>
          <w:szCs w:val="24"/>
        </w:rPr>
        <w:t>项目结束后，正荣基金会对项目结余款拥有所有权和处置权，并将在项目结束时收回或作妥善处置。</w:t>
      </w:r>
    </w:p>
    <w:p>
      <w:pPr>
        <w:spacing w:line="360" w:lineRule="auto"/>
        <w:rPr>
          <w:rFonts w:ascii="宋体" w:hAnsi="宋体"/>
          <w:b/>
          <w:sz w:val="24"/>
          <w:szCs w:val="24"/>
        </w:rPr>
      </w:pPr>
      <w:r>
        <w:rPr>
          <w:rFonts w:hint="eastAsia" w:ascii="宋体" w:hAnsi="宋体"/>
          <w:b/>
          <w:sz w:val="24"/>
          <w:szCs w:val="24"/>
        </w:rPr>
        <w:t>八、财务监督与公开</w:t>
      </w:r>
    </w:p>
    <w:p>
      <w:pPr>
        <w:spacing w:line="360" w:lineRule="auto"/>
        <w:ind w:firstLine="470" w:firstLineChars="196"/>
        <w:rPr>
          <w:rFonts w:ascii="宋体" w:hAnsi="宋体"/>
          <w:b/>
          <w:color w:val="000000"/>
          <w:sz w:val="24"/>
          <w:szCs w:val="24"/>
        </w:rPr>
      </w:pPr>
      <w:r>
        <w:rPr>
          <w:rFonts w:hint="eastAsia" w:ascii="宋体" w:hAnsi="宋体"/>
          <w:sz w:val="24"/>
          <w:szCs w:val="24"/>
        </w:rPr>
        <w:t>合作伙伴应该建立必要的财务管理制度，采取有效的资金监管和控制措施，确保项目资金安全，项目财务信息应在机构员工例会、理事会或通过其他途径在适当的范围内公布，接受员工、资助方和相关群体的监督，提高项目财务运作的透明度和问责性。</w:t>
      </w:r>
    </w:p>
    <w:p>
      <w:pPr>
        <w:spacing w:line="360" w:lineRule="auto"/>
        <w:rPr>
          <w:rFonts w:ascii="宋体" w:hAnsi="宋体"/>
          <w:b/>
          <w:sz w:val="24"/>
          <w:szCs w:val="24"/>
        </w:rPr>
      </w:pPr>
      <w:r>
        <w:rPr>
          <w:rFonts w:hint="eastAsia" w:ascii="宋体" w:hAnsi="宋体"/>
          <w:b/>
          <w:sz w:val="24"/>
          <w:szCs w:val="24"/>
        </w:rPr>
        <w:t>九、其他事项</w:t>
      </w:r>
    </w:p>
    <w:p>
      <w:pPr>
        <w:spacing w:line="360" w:lineRule="auto"/>
        <w:ind w:left="360" w:hanging="360" w:hangingChars="150"/>
        <w:rPr>
          <w:rFonts w:ascii="宋体" w:hAnsi="宋体"/>
          <w:color w:val="000000"/>
          <w:sz w:val="24"/>
          <w:szCs w:val="24"/>
        </w:rPr>
      </w:pPr>
      <w:r>
        <w:rPr>
          <w:rFonts w:hint="eastAsia" w:ascii="宋体" w:hAnsi="宋体"/>
          <w:color w:val="000000"/>
          <w:sz w:val="24"/>
          <w:szCs w:val="24"/>
        </w:rPr>
        <w:t>1. 合作伙伴的项目或财务出现严重失误时，正荣基金会将根据具体情况，依据项目协议书中的条款，决定中止拨款，追回已拨款项及使用项目资金购置的物资，并保留通过法律诉讼手段解决问题的权利。</w:t>
      </w:r>
    </w:p>
    <w:p>
      <w:pPr>
        <w:spacing w:line="360" w:lineRule="auto"/>
        <w:ind w:left="360" w:hanging="360" w:hangingChars="150"/>
        <w:rPr>
          <w:rFonts w:ascii="宋体" w:hAnsi="宋体"/>
          <w:color w:val="000000"/>
          <w:sz w:val="24"/>
          <w:szCs w:val="24"/>
        </w:rPr>
      </w:pPr>
      <w:r>
        <w:rPr>
          <w:rFonts w:hint="eastAsia" w:ascii="宋体" w:hAnsi="宋体"/>
          <w:color w:val="000000"/>
          <w:sz w:val="24"/>
          <w:szCs w:val="24"/>
        </w:rPr>
        <w:t>2. 在项目财务管理中，正荣基金会不接受任何违反国家法规、不诚实、营私舞弊、虚假报告等行为，包括以下及其他并未列出的行为：</w:t>
      </w:r>
    </w:p>
    <w:p>
      <w:pPr>
        <w:numPr>
          <w:ilvl w:val="0"/>
          <w:numId w:val="10"/>
        </w:numPr>
        <w:spacing w:line="360" w:lineRule="auto"/>
        <w:rPr>
          <w:rFonts w:ascii="宋体" w:hAnsi="宋体"/>
          <w:color w:val="000000"/>
          <w:sz w:val="24"/>
          <w:szCs w:val="24"/>
        </w:rPr>
      </w:pPr>
      <w:r>
        <w:rPr>
          <w:rFonts w:hint="eastAsia" w:ascii="宋体" w:hAnsi="宋体"/>
          <w:color w:val="000000"/>
          <w:sz w:val="24"/>
          <w:szCs w:val="24"/>
        </w:rPr>
        <w:t>已注册机构把项目资金转存入个人储蓄账户</w:t>
      </w:r>
    </w:p>
    <w:p>
      <w:pPr>
        <w:numPr>
          <w:ilvl w:val="0"/>
          <w:numId w:val="10"/>
        </w:numPr>
        <w:spacing w:line="360" w:lineRule="auto"/>
        <w:rPr>
          <w:rFonts w:ascii="宋体" w:hAnsi="宋体"/>
          <w:color w:val="000000"/>
          <w:sz w:val="24"/>
          <w:szCs w:val="24"/>
        </w:rPr>
      </w:pPr>
      <w:r>
        <w:rPr>
          <w:rFonts w:hint="eastAsia" w:ascii="宋体" w:hAnsi="宋体"/>
          <w:color w:val="000000"/>
          <w:sz w:val="24"/>
          <w:szCs w:val="24"/>
        </w:rPr>
        <w:t>采用虚假票据报销套取项目资金</w:t>
      </w:r>
    </w:p>
    <w:p>
      <w:pPr>
        <w:numPr>
          <w:ilvl w:val="0"/>
          <w:numId w:val="10"/>
        </w:numPr>
        <w:spacing w:line="360" w:lineRule="auto"/>
        <w:rPr>
          <w:rFonts w:ascii="宋体" w:hAnsi="宋体"/>
          <w:color w:val="000000"/>
          <w:sz w:val="24"/>
          <w:szCs w:val="24"/>
        </w:rPr>
      </w:pPr>
      <w:r>
        <w:rPr>
          <w:rFonts w:hint="eastAsia" w:ascii="宋体" w:hAnsi="宋体"/>
          <w:color w:val="000000"/>
          <w:sz w:val="24"/>
          <w:szCs w:val="24"/>
        </w:rPr>
        <w:t>恶意运用会计技巧套取现金或避税</w:t>
      </w:r>
    </w:p>
    <w:p>
      <w:pPr>
        <w:numPr>
          <w:ilvl w:val="0"/>
          <w:numId w:val="10"/>
        </w:numPr>
        <w:spacing w:line="360" w:lineRule="auto"/>
        <w:rPr>
          <w:rFonts w:ascii="宋体" w:hAnsi="宋体"/>
          <w:color w:val="000000"/>
          <w:sz w:val="24"/>
          <w:szCs w:val="24"/>
        </w:rPr>
      </w:pPr>
      <w:r>
        <w:rPr>
          <w:rFonts w:hint="eastAsia" w:ascii="宋体" w:hAnsi="宋体"/>
          <w:color w:val="000000"/>
          <w:sz w:val="24"/>
          <w:szCs w:val="24"/>
        </w:rPr>
        <w:t>编造虚假活动、伪造报销资料</w:t>
      </w:r>
    </w:p>
    <w:p>
      <w:pPr>
        <w:numPr>
          <w:ilvl w:val="0"/>
          <w:numId w:val="10"/>
        </w:numPr>
        <w:spacing w:line="360" w:lineRule="auto"/>
        <w:rPr>
          <w:rFonts w:ascii="宋体" w:hAnsi="宋体"/>
          <w:color w:val="000000"/>
          <w:sz w:val="24"/>
          <w:szCs w:val="24"/>
        </w:rPr>
      </w:pPr>
      <w:r>
        <w:rPr>
          <w:rFonts w:hint="eastAsia" w:ascii="宋体" w:hAnsi="宋体"/>
          <w:color w:val="000000"/>
          <w:sz w:val="24"/>
          <w:szCs w:val="24"/>
        </w:rPr>
        <w:t>编造虚假名册，冒领、代领工资或补贴</w:t>
      </w:r>
    </w:p>
    <w:p>
      <w:pPr>
        <w:numPr>
          <w:ilvl w:val="0"/>
          <w:numId w:val="11"/>
        </w:numPr>
        <w:spacing w:line="360" w:lineRule="auto"/>
        <w:rPr>
          <w:rFonts w:ascii="宋体" w:hAnsi="宋体"/>
          <w:color w:val="000000"/>
          <w:sz w:val="24"/>
          <w:szCs w:val="24"/>
        </w:rPr>
      </w:pPr>
      <w:r>
        <w:rPr>
          <w:rFonts w:hint="eastAsia" w:ascii="宋体" w:hAnsi="宋体"/>
          <w:color w:val="000000"/>
          <w:sz w:val="24"/>
          <w:szCs w:val="24"/>
        </w:rPr>
        <w:t>违背员工意愿强迫员工捐赠工资、劳务及补助</w:t>
      </w:r>
    </w:p>
    <w:p>
      <w:pPr>
        <w:numPr>
          <w:ilvl w:val="0"/>
          <w:numId w:val="10"/>
        </w:numPr>
        <w:spacing w:line="360" w:lineRule="auto"/>
        <w:rPr>
          <w:rFonts w:ascii="宋体" w:hAnsi="宋体"/>
          <w:color w:val="000000"/>
          <w:sz w:val="24"/>
          <w:szCs w:val="24"/>
        </w:rPr>
      </w:pPr>
      <w:r>
        <w:rPr>
          <w:rFonts w:hint="eastAsia" w:ascii="宋体" w:hAnsi="宋体"/>
          <w:color w:val="000000"/>
          <w:sz w:val="24"/>
          <w:szCs w:val="24"/>
        </w:rPr>
        <w:t>故意向员工或对外公布虚假会计信息</w:t>
      </w:r>
    </w:p>
    <w:p>
      <w:pPr>
        <w:numPr>
          <w:ilvl w:val="0"/>
          <w:numId w:val="10"/>
        </w:numPr>
        <w:spacing w:line="360" w:lineRule="auto"/>
        <w:rPr>
          <w:rFonts w:ascii="宋体" w:hAnsi="宋体"/>
          <w:color w:val="000000"/>
          <w:sz w:val="24"/>
          <w:szCs w:val="24"/>
        </w:rPr>
      </w:pPr>
      <w:r>
        <w:rPr>
          <w:rFonts w:hint="eastAsia" w:ascii="宋体" w:hAnsi="宋体"/>
          <w:color w:val="000000"/>
          <w:sz w:val="24"/>
          <w:szCs w:val="24"/>
        </w:rPr>
        <w:t>恶意涂改发票、账本和报表</w:t>
      </w:r>
    </w:p>
    <w:p>
      <w:pPr>
        <w:numPr>
          <w:ilvl w:val="0"/>
          <w:numId w:val="10"/>
        </w:numPr>
        <w:spacing w:line="360" w:lineRule="auto"/>
        <w:rPr>
          <w:rFonts w:ascii="宋体" w:hAnsi="宋体"/>
          <w:color w:val="000000"/>
          <w:sz w:val="24"/>
          <w:szCs w:val="24"/>
        </w:rPr>
      </w:pPr>
      <w:r>
        <w:rPr>
          <w:rFonts w:hint="eastAsia" w:ascii="宋体" w:hAnsi="宋体"/>
          <w:color w:val="000000"/>
          <w:sz w:val="24"/>
          <w:szCs w:val="24"/>
        </w:rPr>
        <w:t>应该取得发票却大量以白条报账</w:t>
      </w: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spacing w:line="360" w:lineRule="auto"/>
        <w:jc w:val="right"/>
        <w:rPr>
          <w:rFonts w:ascii="宋体" w:hAnsi="宋体"/>
          <w:sz w:val="24"/>
          <w:szCs w:val="24"/>
        </w:rPr>
      </w:pPr>
      <w:r>
        <w:rPr>
          <w:rFonts w:hint="eastAsia" w:ascii="宋体" w:hAnsi="宋体"/>
          <w:sz w:val="24"/>
          <w:szCs w:val="24"/>
        </w:rPr>
        <w:t>福建省正荣公益基金会</w:t>
      </w:r>
    </w:p>
    <w:p>
      <w:pPr>
        <w:wordWrap w:val="0"/>
        <w:spacing w:line="360" w:lineRule="auto"/>
        <w:jc w:val="right"/>
        <w:rPr>
          <w:rFonts w:ascii="宋体" w:hAnsi="宋体"/>
          <w:sz w:val="24"/>
          <w:szCs w:val="24"/>
        </w:rPr>
      </w:pPr>
      <w:r>
        <w:rPr>
          <w:rFonts w:hint="eastAsia" w:ascii="宋体" w:hAnsi="宋体"/>
          <w:sz w:val="24"/>
          <w:szCs w:val="24"/>
        </w:rPr>
        <w:t>2014年4月15日</w:t>
      </w:r>
    </w:p>
    <w:p>
      <w:pPr>
        <w:rPr>
          <w:sz w:val="24"/>
          <w:szCs w:val="24"/>
        </w:rPr>
      </w:pPr>
    </w:p>
    <w:sectPr>
      <w:headerReference r:id="rId3" w:type="default"/>
      <w:pgSz w:w="11906" w:h="16838"/>
      <w:pgMar w:top="1191" w:right="1588" w:bottom="1247"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13"/>
      </w:pBdr>
      <w:jc w:val="both"/>
    </w:pPr>
    <w:r>
      <w:drawing>
        <wp:inline distT="0" distB="0" distL="114300" distR="114300">
          <wp:extent cx="1381125" cy="476250"/>
          <wp:effectExtent l="0" t="0" r="1905" b="5715"/>
          <wp:docPr id="1" name="图片 1" descr="正荣公益基金会标志定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正荣公益基金会标志定稿1"/>
                  <pic:cNvPicPr>
                    <a:picLocks noChangeAspect="1"/>
                  </pic:cNvPicPr>
                </pic:nvPicPr>
                <pic:blipFill>
                  <a:blip r:embed="rId1"/>
                  <a:stretch>
                    <a:fillRect/>
                  </a:stretch>
                </pic:blipFill>
                <pic:spPr>
                  <a:xfrm>
                    <a:off x="0" y="0"/>
                    <a:ext cx="1381125" cy="476250"/>
                  </a:xfrm>
                  <a:prstGeom prst="rect">
                    <a:avLst/>
                  </a:prstGeom>
                  <a:noFill/>
                  <a:ln w="9525">
                    <a:noFill/>
                  </a:ln>
                </pic:spPr>
              </pic:pic>
            </a:graphicData>
          </a:graphic>
        </wp:inline>
      </w:drawing>
    </w:r>
    <w:r>
      <w:drawing>
        <wp:inline distT="0" distB="0" distL="114300" distR="114300">
          <wp:extent cx="842010" cy="519430"/>
          <wp:effectExtent l="0" t="0" r="15240" b="13970"/>
          <wp:docPr id="2" name="图片 2" descr="C:\Users\sony\AppData\Local\Kingsoft\WPS Cloud Files\userdata\qing\filecache\1017273524的云文档\我的文档\隐秘王国\传播\20180407logo-01.jpg20180407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ony\AppData\Local\Kingsoft\WPS Cloud Files\userdata\qing\filecache\1017273524的云文档\我的文档\隐秘王国\传播\20180407logo-01.jpg20180407logo-01"/>
                  <pic:cNvPicPr>
                    <a:picLocks noChangeAspect="1"/>
                  </pic:cNvPicPr>
                </pic:nvPicPr>
                <pic:blipFill>
                  <a:blip r:embed="rId2"/>
                  <a:srcRect b="12793"/>
                  <a:stretch>
                    <a:fillRect/>
                  </a:stretch>
                </pic:blipFill>
                <pic:spPr>
                  <a:xfrm>
                    <a:off x="0" y="0"/>
                    <a:ext cx="842010" cy="51943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BFAC22"/>
    <w:multiLevelType w:val="singleLevel"/>
    <w:tmpl w:val="B6BFAC22"/>
    <w:lvl w:ilvl="0" w:tentative="0">
      <w:start w:val="8"/>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480"/>
        </w:tabs>
        <w:ind w:left="480" w:hanging="480"/>
      </w:pPr>
      <w:rPr>
        <w:rFonts w:hint="default"/>
        <w:b/>
        <w:color w:val="000000"/>
        <w:sz w:val="24"/>
      </w:rPr>
    </w:lvl>
    <w:lvl w:ilvl="1" w:tentative="0">
      <w:start w:val="1"/>
      <w:numFmt w:val="lowerLetter"/>
      <w:lvlText w:val="%2、"/>
      <w:lvlJc w:val="left"/>
      <w:pPr>
        <w:tabs>
          <w:tab w:val="left" w:pos="786"/>
        </w:tabs>
        <w:ind w:left="786" w:hanging="360"/>
      </w:pPr>
      <w:rPr>
        <w:rFonts w:hint="default" w:eastAsia="宋体"/>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00000009"/>
    <w:multiLevelType w:val="multilevel"/>
    <w:tmpl w:val="0000000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0F"/>
    <w:multiLevelType w:val="multilevel"/>
    <w:tmpl w:val="0000000F"/>
    <w:lvl w:ilvl="0" w:tentative="0">
      <w:start w:val="0"/>
      <w:numFmt w:val="bullet"/>
      <w:lvlText w:val=""/>
      <w:lvlJc w:val="left"/>
      <w:pPr>
        <w:tabs>
          <w:tab w:val="left" w:pos="780"/>
        </w:tabs>
        <w:ind w:left="780" w:hanging="360"/>
      </w:pPr>
      <w:rPr>
        <w:rFonts w:hint="default" w:ascii="Wingdings" w:hAnsi="Wingdings"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rPr>
        <w:b w:val="0"/>
        <w:color w:val="000000"/>
      </w:rPr>
    </w:lvl>
    <w:lvl w:ilvl="1" w:tentative="0">
      <w:start w:val="1"/>
      <w:numFmt w:val="decimal"/>
      <w:isLgl/>
      <w:lvlText w:val="%1.%2"/>
      <w:lvlJc w:val="left"/>
      <w:pPr>
        <w:tabs>
          <w:tab w:val="left" w:pos="480"/>
        </w:tabs>
        <w:ind w:left="480" w:hanging="480"/>
      </w:pPr>
      <w:rPr>
        <w:rFonts w:hint="default" w:eastAsia="MingLiU"/>
        <w:color w:val="0000FF"/>
      </w:rPr>
    </w:lvl>
    <w:lvl w:ilvl="2" w:tentative="0">
      <w:start w:val="1"/>
      <w:numFmt w:val="decimal"/>
      <w:isLgl/>
      <w:lvlText w:val="%1.%2.%3"/>
      <w:lvlJc w:val="left"/>
      <w:pPr>
        <w:tabs>
          <w:tab w:val="left" w:pos="720"/>
        </w:tabs>
        <w:ind w:left="720" w:hanging="720"/>
      </w:pPr>
      <w:rPr>
        <w:rFonts w:hint="default" w:eastAsia="MingLiU"/>
        <w:color w:val="0000FF"/>
      </w:rPr>
    </w:lvl>
    <w:lvl w:ilvl="3" w:tentative="0">
      <w:start w:val="1"/>
      <w:numFmt w:val="decimal"/>
      <w:isLgl/>
      <w:lvlText w:val="%1.%2.%3.%4"/>
      <w:lvlJc w:val="left"/>
      <w:pPr>
        <w:tabs>
          <w:tab w:val="left" w:pos="1080"/>
        </w:tabs>
        <w:ind w:left="1080" w:hanging="1080"/>
      </w:pPr>
      <w:rPr>
        <w:rFonts w:hint="default" w:eastAsia="MingLiU"/>
        <w:color w:val="0000FF"/>
      </w:rPr>
    </w:lvl>
    <w:lvl w:ilvl="4" w:tentative="0">
      <w:start w:val="1"/>
      <w:numFmt w:val="decimal"/>
      <w:isLgl/>
      <w:lvlText w:val="%1.%2.%3.%4.%5"/>
      <w:lvlJc w:val="left"/>
      <w:pPr>
        <w:tabs>
          <w:tab w:val="left" w:pos="1080"/>
        </w:tabs>
        <w:ind w:left="1080" w:hanging="1080"/>
      </w:pPr>
      <w:rPr>
        <w:rFonts w:hint="default" w:eastAsia="MingLiU"/>
        <w:color w:val="0000FF"/>
      </w:rPr>
    </w:lvl>
    <w:lvl w:ilvl="5" w:tentative="0">
      <w:start w:val="1"/>
      <w:numFmt w:val="decimal"/>
      <w:isLgl/>
      <w:lvlText w:val="%1.%2.%3.%4.%5.%6"/>
      <w:lvlJc w:val="left"/>
      <w:pPr>
        <w:tabs>
          <w:tab w:val="left" w:pos="1440"/>
        </w:tabs>
        <w:ind w:left="1440" w:hanging="1440"/>
      </w:pPr>
      <w:rPr>
        <w:rFonts w:hint="default" w:eastAsia="MingLiU"/>
        <w:color w:val="0000FF"/>
      </w:rPr>
    </w:lvl>
    <w:lvl w:ilvl="6" w:tentative="0">
      <w:start w:val="1"/>
      <w:numFmt w:val="decimal"/>
      <w:isLgl/>
      <w:lvlText w:val="%1.%2.%3.%4.%5.%6.%7"/>
      <w:lvlJc w:val="left"/>
      <w:pPr>
        <w:tabs>
          <w:tab w:val="left" w:pos="1800"/>
        </w:tabs>
        <w:ind w:left="1800" w:hanging="1800"/>
      </w:pPr>
      <w:rPr>
        <w:rFonts w:hint="default" w:eastAsia="MingLiU"/>
        <w:color w:val="0000FF"/>
      </w:rPr>
    </w:lvl>
    <w:lvl w:ilvl="7" w:tentative="0">
      <w:start w:val="1"/>
      <w:numFmt w:val="decimal"/>
      <w:isLgl/>
      <w:lvlText w:val="%1.%2.%3.%4.%5.%6.%7.%8"/>
      <w:lvlJc w:val="left"/>
      <w:pPr>
        <w:tabs>
          <w:tab w:val="left" w:pos="1800"/>
        </w:tabs>
        <w:ind w:left="1800" w:hanging="1800"/>
      </w:pPr>
      <w:rPr>
        <w:rFonts w:hint="default" w:eastAsia="MingLiU"/>
        <w:color w:val="0000FF"/>
      </w:rPr>
    </w:lvl>
    <w:lvl w:ilvl="8" w:tentative="0">
      <w:start w:val="1"/>
      <w:numFmt w:val="decimal"/>
      <w:isLgl/>
      <w:lvlText w:val="%1.%2.%3.%4.%5.%6.%7.%8.%9"/>
      <w:lvlJc w:val="left"/>
      <w:pPr>
        <w:tabs>
          <w:tab w:val="left" w:pos="2160"/>
        </w:tabs>
        <w:ind w:left="2160" w:hanging="2160"/>
      </w:pPr>
      <w:rPr>
        <w:rFonts w:hint="default" w:eastAsia="MingLiU"/>
        <w:color w:val="0000FF"/>
      </w:rPr>
    </w:lvl>
  </w:abstractNum>
  <w:abstractNum w:abstractNumId="5">
    <w:nsid w:val="00000012"/>
    <w:multiLevelType w:val="multilevel"/>
    <w:tmpl w:val="00000012"/>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D8BEED8"/>
    <w:multiLevelType w:val="singleLevel"/>
    <w:tmpl w:val="2D8BEED8"/>
    <w:lvl w:ilvl="0" w:tentative="0">
      <w:start w:val="1"/>
      <w:numFmt w:val="decimal"/>
      <w:suff w:val="nothing"/>
      <w:lvlText w:val="%1、"/>
      <w:lvlJc w:val="left"/>
    </w:lvl>
  </w:abstractNum>
  <w:abstractNum w:abstractNumId="7">
    <w:nsid w:val="37FA3C2F"/>
    <w:multiLevelType w:val="multilevel"/>
    <w:tmpl w:val="37FA3C2F"/>
    <w:lvl w:ilvl="0" w:tentative="0">
      <w:start w:val="1"/>
      <w:numFmt w:val="decimal"/>
      <w:lvlText w:val="%1."/>
      <w:lvlJc w:val="left"/>
      <w:pPr>
        <w:ind w:left="360" w:hanging="360"/>
      </w:pPr>
      <w:rPr>
        <w:rFonts w:hint="default"/>
        <w:b w:val="0"/>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C0B0E1"/>
    <w:multiLevelType w:val="singleLevel"/>
    <w:tmpl w:val="54C0B0E1"/>
    <w:lvl w:ilvl="0" w:tentative="0">
      <w:start w:val="3"/>
      <w:numFmt w:val="chineseCounting"/>
      <w:suff w:val="nothing"/>
      <w:lvlText w:val="%1、"/>
      <w:lvlJc w:val="left"/>
    </w:lvl>
  </w:abstractNum>
  <w:abstractNum w:abstractNumId="9">
    <w:nsid w:val="65D44315"/>
    <w:multiLevelType w:val="multilevel"/>
    <w:tmpl w:val="65D44315"/>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E846CDF"/>
    <w:multiLevelType w:val="multilevel"/>
    <w:tmpl w:val="7E846CDF"/>
    <w:lvl w:ilvl="0" w:tentative="0">
      <w:start w:val="1"/>
      <w:numFmt w:val="decimal"/>
      <w:lvlText w:val="%1."/>
      <w:lvlJc w:val="left"/>
      <w:pPr>
        <w:ind w:left="360" w:hanging="360"/>
      </w:pPr>
      <w:rPr>
        <w:rFonts w:hint="default"/>
        <w:b w:val="0"/>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0"/>
  </w:num>
  <w:num w:numId="3">
    <w:abstractNumId w:val="6"/>
  </w:num>
  <w:num w:numId="4">
    <w:abstractNumId w:val="4"/>
  </w:num>
  <w:num w:numId="5">
    <w:abstractNumId w:val="7"/>
  </w:num>
  <w:num w:numId="6">
    <w:abstractNumId w:val="10"/>
  </w:num>
  <w:num w:numId="7">
    <w:abstractNumId w:val="3"/>
  </w:num>
  <w:num w:numId="8">
    <w:abstractNumId w:val="9"/>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AC14B3"/>
    <w:rsid w:val="07290E44"/>
    <w:rsid w:val="122F3EDB"/>
    <w:rsid w:val="28DB7F0B"/>
    <w:rsid w:val="368A0693"/>
    <w:rsid w:val="45E87445"/>
    <w:rsid w:val="53816926"/>
    <w:rsid w:val="53911412"/>
    <w:rsid w:val="77AB0B64"/>
    <w:rsid w:val="7C7D76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0"/>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0"/>
    <w:rPr>
      <w:color w:val="0000FF"/>
      <w:u w:val="single"/>
    </w:rPr>
  </w:style>
  <w:style w:type="table" w:styleId="8">
    <w:name w:val="Table Grid"/>
    <w:basedOn w:val="7"/>
    <w:semiHidden/>
    <w:unhideWhenUs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qFormat/>
    <w:uiPriority w:val="34"/>
    <w:pPr>
      <w:ind w:firstLine="420" w:firstLineChars="200"/>
    </w:pPr>
    <w:rPr>
      <w:rFonts w:ascii="Calibri" w:hAnsi="Calibri"/>
      <w:szCs w:val="22"/>
    </w:rPr>
  </w:style>
  <w:style w:type="paragraph" w:customStyle="1" w:styleId="10">
    <w:name w:val="p0"/>
    <w:basedOn w:val="1"/>
    <w:qFormat/>
    <w:uiPriority w:val="0"/>
    <w:pPr>
      <w:widowControl/>
    </w:pPr>
    <w:rPr>
      <w:kern w:val="0"/>
      <w:szCs w:val="21"/>
    </w:rPr>
  </w:style>
  <w:style w:type="character" w:customStyle="1" w:styleId="11">
    <w:name w:val="Header Char"/>
    <w:basedOn w:val="5"/>
    <w:link w:val="4"/>
    <w:qFormat/>
    <w:uiPriority w:val="99"/>
    <w:rPr>
      <w:sz w:val="18"/>
      <w:szCs w:val="18"/>
    </w:rPr>
  </w:style>
  <w:style w:type="character" w:customStyle="1" w:styleId="12">
    <w:name w:val="Footer Char"/>
    <w:basedOn w:val="5"/>
    <w:link w:val="3"/>
    <w:qFormat/>
    <w:uiPriority w:val="99"/>
    <w:rPr>
      <w:sz w:val="18"/>
      <w:szCs w:val="18"/>
    </w:rPr>
  </w:style>
  <w:style w:type="character" w:customStyle="1" w:styleId="13">
    <w:name w:val="Balloon Text Char"/>
    <w:basedOn w:val="5"/>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12</Pages>
  <Words>837</Words>
  <Characters>4773</Characters>
  <Lines>39</Lines>
  <Paragraphs>11</Paragraphs>
  <TotalTime>1</TotalTime>
  <ScaleCrop>false</ScaleCrop>
  <LinksUpToDate>false</LinksUpToDate>
  <CharactersWithSpaces>5599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2018-07-17T02:31:00Z</dcterms:created>
  <dc:creator>李盼</dc:creator>
  <cp:lastModifiedBy>1017273524</cp:lastModifiedBy>
  <dcterms:modified xsi:type="dcterms:W3CDTF">2018-08-09T06:58:44Z</dcterms:modified>
  <dc:title>项目名    项目合作协议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